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94948" w14:textId="77777777"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A52D5F"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182AB415"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Los Estados Financieros de los entes públicos, proveen de información financiera a los principales usuarios de la misma, al Congreso y a los ciudadanos.</w:t>
      </w:r>
    </w:p>
    <w:p w14:paraId="394B4187" w14:textId="77777777" w:rsidR="00880F1C" w:rsidRPr="008C0A2D" w:rsidRDefault="00880F1C" w:rsidP="00880F1C">
      <w:pPr>
        <w:spacing w:after="0" w:line="240" w:lineRule="auto"/>
        <w:jc w:val="both"/>
        <w:rPr>
          <w:rFonts w:ascii="Arial Narrow" w:hAnsi="Arial Narrow" w:cs="Calibri"/>
          <w:sz w:val="20"/>
          <w:szCs w:val="20"/>
        </w:rPr>
      </w:pPr>
    </w:p>
    <w:p w14:paraId="171D9EDA"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14:paraId="6663DD9F" w14:textId="77777777" w:rsidR="00880F1C" w:rsidRPr="008C0A2D" w:rsidRDefault="00880F1C" w:rsidP="00880F1C">
      <w:pPr>
        <w:spacing w:after="0" w:line="240" w:lineRule="auto"/>
        <w:jc w:val="both"/>
        <w:rPr>
          <w:rFonts w:ascii="Arial Narrow" w:hAnsi="Arial Narrow" w:cs="Calibri"/>
          <w:sz w:val="20"/>
          <w:szCs w:val="20"/>
        </w:rPr>
      </w:pPr>
    </w:p>
    <w:p w14:paraId="203A0118"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14:paraId="6C48B182" w14:textId="77777777" w:rsidR="00880F1C" w:rsidRPr="008C0A2D" w:rsidRDefault="00880F1C" w:rsidP="00880F1C">
      <w:pPr>
        <w:spacing w:after="0" w:line="240" w:lineRule="auto"/>
        <w:ind w:left="720"/>
        <w:contextualSpacing/>
        <w:jc w:val="both"/>
        <w:rPr>
          <w:rFonts w:ascii="Arial Narrow" w:hAnsi="Arial Narrow" w:cs="Calibri"/>
          <w:sz w:val="20"/>
          <w:szCs w:val="20"/>
        </w:rPr>
      </w:pPr>
    </w:p>
    <w:p w14:paraId="3BCEC67B" w14:textId="77777777" w:rsidR="00880F1C" w:rsidRPr="008C0A2D" w:rsidRDefault="00880F1C" w:rsidP="00880F1C">
      <w:pPr>
        <w:numPr>
          <w:ilvl w:val="0"/>
          <w:numId w:val="1"/>
        </w:numPr>
        <w:spacing w:after="0" w:line="240" w:lineRule="auto"/>
        <w:contextualSpacing/>
        <w:jc w:val="both"/>
        <w:rPr>
          <w:rFonts w:ascii="Arial Narrow" w:hAnsi="Arial Narrow" w:cs="Calibri"/>
          <w:sz w:val="20"/>
          <w:szCs w:val="20"/>
        </w:rPr>
      </w:pPr>
      <w:r w:rsidRPr="008C0A2D">
        <w:rPr>
          <w:rFonts w:ascii="Arial Narrow" w:hAnsi="Arial Narrow" w:cs="Calibri"/>
          <w:sz w:val="20"/>
          <w:szCs w:val="20"/>
        </w:rPr>
        <w:t>Las notas de gestión administrativa deben contener los siguientes puntos:</w:t>
      </w:r>
    </w:p>
    <w:p w14:paraId="2F65D88B" w14:textId="77777777" w:rsidR="007D1E76" w:rsidRPr="00E74967" w:rsidRDefault="007D1E76" w:rsidP="00CB41C4">
      <w:pPr>
        <w:tabs>
          <w:tab w:val="left" w:leader="underscore" w:pos="9639"/>
        </w:tabs>
        <w:spacing w:after="0" w:line="240" w:lineRule="auto"/>
        <w:jc w:val="both"/>
        <w:rPr>
          <w:rFonts w:cs="Calibri"/>
        </w:rPr>
      </w:pP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Pr="00880F1C" w:rsidRDefault="00F46719">
          <w:pPr>
            <w:pStyle w:val="TtuloTDC"/>
            <w:rPr>
              <w:rFonts w:ascii="Arial Narrow" w:hAnsi="Arial Narrow"/>
              <w:sz w:val="20"/>
              <w:szCs w:val="20"/>
            </w:rPr>
          </w:pPr>
          <w:r w:rsidRPr="00880F1C">
            <w:rPr>
              <w:rFonts w:ascii="Arial Narrow" w:hAnsi="Arial Narrow"/>
              <w:sz w:val="20"/>
              <w:szCs w:val="20"/>
              <w:lang w:val="es-ES"/>
            </w:rPr>
            <w:t>Contenido</w:t>
          </w:r>
        </w:p>
        <w:p w14:paraId="41648196" w14:textId="1DA2961A" w:rsidR="00F46719" w:rsidRPr="00880F1C" w:rsidRDefault="00F46719">
          <w:pPr>
            <w:pStyle w:val="TDC2"/>
            <w:tabs>
              <w:tab w:val="right" w:leader="dot" w:pos="9678"/>
            </w:tabs>
            <w:rPr>
              <w:rFonts w:ascii="Arial Narrow" w:hAnsi="Arial Narrow"/>
              <w:noProof/>
              <w:sz w:val="20"/>
              <w:szCs w:val="20"/>
            </w:rPr>
          </w:pPr>
          <w:r w:rsidRPr="00880F1C">
            <w:rPr>
              <w:rFonts w:ascii="Arial Narrow" w:hAnsi="Arial Narrow"/>
              <w:sz w:val="20"/>
              <w:szCs w:val="20"/>
            </w:rPr>
            <w:fldChar w:fldCharType="begin"/>
          </w:r>
          <w:r w:rsidRPr="00880F1C">
            <w:rPr>
              <w:rFonts w:ascii="Arial Narrow" w:hAnsi="Arial Narrow"/>
              <w:sz w:val="20"/>
              <w:szCs w:val="20"/>
            </w:rPr>
            <w:instrText xml:space="preserve"> TOC \o "1-3" \h \z \u </w:instrText>
          </w:r>
          <w:r w:rsidRPr="00880F1C">
            <w:rPr>
              <w:rFonts w:ascii="Arial Narrow" w:hAnsi="Arial Narrow"/>
              <w:sz w:val="20"/>
              <w:szCs w:val="20"/>
            </w:rPr>
            <w:fldChar w:fldCharType="separate"/>
          </w:r>
          <w:hyperlink w:anchor="_Toc508279621" w:history="1">
            <w:r w:rsidRPr="00880F1C">
              <w:rPr>
                <w:rStyle w:val="Hipervnculo"/>
                <w:rFonts w:ascii="Arial Narrow" w:hAnsi="Arial Narrow" w:cstheme="minorHAnsi"/>
                <w:noProof/>
                <w:sz w:val="20"/>
                <w:szCs w:val="20"/>
              </w:rPr>
              <w:t>1. Introducción:</w:t>
            </w:r>
            <w:r w:rsidRPr="00880F1C">
              <w:rPr>
                <w:rFonts w:ascii="Arial Narrow" w:hAnsi="Arial Narrow"/>
                <w:noProof/>
                <w:webHidden/>
                <w:sz w:val="20"/>
                <w:szCs w:val="20"/>
              </w:rPr>
              <w:tab/>
            </w:r>
          </w:hyperlink>
          <w:r w:rsidR="00880F1C" w:rsidRPr="00880F1C">
            <w:rPr>
              <w:rFonts w:ascii="Arial Narrow" w:hAnsi="Arial Narrow"/>
              <w:noProof/>
              <w:sz w:val="20"/>
              <w:szCs w:val="20"/>
            </w:rPr>
            <w:t>2</w:t>
          </w:r>
        </w:p>
        <w:p w14:paraId="47CC41D1" w14:textId="2185D25F" w:rsidR="00F46719" w:rsidRPr="00880F1C" w:rsidRDefault="00A52D5F">
          <w:pPr>
            <w:pStyle w:val="TDC2"/>
            <w:tabs>
              <w:tab w:val="right" w:leader="dot" w:pos="9678"/>
            </w:tabs>
            <w:rPr>
              <w:rFonts w:ascii="Arial Narrow" w:hAnsi="Arial Narrow"/>
              <w:noProof/>
              <w:sz w:val="20"/>
              <w:szCs w:val="20"/>
            </w:rPr>
          </w:pPr>
          <w:hyperlink w:anchor="_Toc508279622" w:history="1">
            <w:r w:rsidR="00F46719" w:rsidRPr="00880F1C">
              <w:rPr>
                <w:rStyle w:val="Hipervnculo"/>
                <w:rFonts w:ascii="Arial Narrow" w:hAnsi="Arial Narrow" w:cstheme="minorHAnsi"/>
                <w:noProof/>
                <w:sz w:val="20"/>
                <w:szCs w:val="20"/>
              </w:rPr>
              <w:t>2. Describir el panorama Económico y Financiero:</w:t>
            </w:r>
            <w:r w:rsidR="00F46719" w:rsidRPr="00880F1C">
              <w:rPr>
                <w:rFonts w:ascii="Arial Narrow" w:hAnsi="Arial Narrow"/>
                <w:noProof/>
                <w:webHidden/>
                <w:sz w:val="20"/>
                <w:szCs w:val="20"/>
              </w:rPr>
              <w:tab/>
            </w:r>
          </w:hyperlink>
          <w:r w:rsidR="00880F1C" w:rsidRPr="00880F1C">
            <w:rPr>
              <w:rFonts w:ascii="Arial Narrow" w:hAnsi="Arial Narrow"/>
              <w:noProof/>
              <w:sz w:val="20"/>
              <w:szCs w:val="20"/>
            </w:rPr>
            <w:t>2</w:t>
          </w:r>
        </w:p>
        <w:p w14:paraId="0205BF1A" w14:textId="41A0F45A" w:rsidR="00F46719" w:rsidRPr="00880F1C" w:rsidRDefault="00A52D5F">
          <w:pPr>
            <w:pStyle w:val="TDC2"/>
            <w:tabs>
              <w:tab w:val="right" w:leader="dot" w:pos="9678"/>
            </w:tabs>
            <w:rPr>
              <w:rFonts w:ascii="Arial Narrow" w:hAnsi="Arial Narrow"/>
              <w:noProof/>
              <w:sz w:val="20"/>
              <w:szCs w:val="20"/>
            </w:rPr>
          </w:pPr>
          <w:hyperlink w:anchor="_Toc508279623" w:history="1">
            <w:r w:rsidR="00F46719" w:rsidRPr="00880F1C">
              <w:rPr>
                <w:rStyle w:val="Hipervnculo"/>
                <w:rFonts w:ascii="Arial Narrow" w:hAnsi="Arial Narrow" w:cstheme="minorHAnsi"/>
                <w:noProof/>
                <w:sz w:val="20"/>
                <w:szCs w:val="20"/>
              </w:rPr>
              <w:t>3. Autorización e Historia:</w:t>
            </w:r>
            <w:r w:rsidR="00F46719" w:rsidRPr="00880F1C">
              <w:rPr>
                <w:rFonts w:ascii="Arial Narrow" w:hAnsi="Arial Narrow"/>
                <w:noProof/>
                <w:webHidden/>
                <w:sz w:val="20"/>
                <w:szCs w:val="20"/>
              </w:rPr>
              <w:tab/>
            </w:r>
            <w:r w:rsidR="00880F1C" w:rsidRPr="00880F1C">
              <w:rPr>
                <w:rFonts w:ascii="Arial Narrow" w:hAnsi="Arial Narrow"/>
                <w:noProof/>
                <w:webHidden/>
                <w:sz w:val="20"/>
                <w:szCs w:val="20"/>
              </w:rPr>
              <w:t>2</w:t>
            </w:r>
          </w:hyperlink>
        </w:p>
        <w:p w14:paraId="3181098F" w14:textId="6B94504E" w:rsidR="00F46719" w:rsidRPr="00880F1C" w:rsidRDefault="00A52D5F">
          <w:pPr>
            <w:pStyle w:val="TDC2"/>
            <w:tabs>
              <w:tab w:val="right" w:leader="dot" w:pos="9678"/>
            </w:tabs>
            <w:rPr>
              <w:rFonts w:ascii="Arial Narrow" w:hAnsi="Arial Narrow"/>
              <w:noProof/>
              <w:sz w:val="20"/>
              <w:szCs w:val="20"/>
            </w:rPr>
          </w:pPr>
          <w:hyperlink w:anchor="_Toc508279624" w:history="1">
            <w:r w:rsidR="00F46719" w:rsidRPr="00880F1C">
              <w:rPr>
                <w:rStyle w:val="Hipervnculo"/>
                <w:rFonts w:ascii="Arial Narrow" w:hAnsi="Arial Narrow" w:cstheme="minorHAnsi"/>
                <w:noProof/>
                <w:sz w:val="20"/>
                <w:szCs w:val="20"/>
              </w:rPr>
              <w:t>4. Organización y Objeto Social:</w:t>
            </w:r>
            <w:r w:rsidR="00F46719" w:rsidRPr="00880F1C">
              <w:rPr>
                <w:rFonts w:ascii="Arial Narrow" w:hAnsi="Arial Narrow"/>
                <w:noProof/>
                <w:webHidden/>
                <w:sz w:val="20"/>
                <w:szCs w:val="20"/>
              </w:rPr>
              <w:tab/>
            </w:r>
          </w:hyperlink>
          <w:r w:rsidR="00B331FF">
            <w:rPr>
              <w:rFonts w:ascii="Arial Narrow" w:hAnsi="Arial Narrow"/>
              <w:noProof/>
              <w:sz w:val="20"/>
              <w:szCs w:val="20"/>
            </w:rPr>
            <w:t>3</w:t>
          </w:r>
        </w:p>
        <w:p w14:paraId="3E5886DF" w14:textId="3ABF9E9A" w:rsidR="00F46719" w:rsidRPr="00880F1C" w:rsidRDefault="00A52D5F">
          <w:pPr>
            <w:pStyle w:val="TDC2"/>
            <w:tabs>
              <w:tab w:val="right" w:leader="dot" w:pos="9678"/>
            </w:tabs>
            <w:rPr>
              <w:rFonts w:ascii="Arial Narrow" w:hAnsi="Arial Narrow"/>
              <w:noProof/>
              <w:sz w:val="20"/>
              <w:szCs w:val="20"/>
            </w:rPr>
          </w:pPr>
          <w:hyperlink w:anchor="_Toc508279625" w:history="1">
            <w:r w:rsidR="00F46719" w:rsidRPr="00880F1C">
              <w:rPr>
                <w:rStyle w:val="Hipervnculo"/>
                <w:rFonts w:ascii="Arial Narrow" w:hAnsi="Arial Narrow" w:cstheme="minorHAnsi"/>
                <w:noProof/>
                <w:sz w:val="20"/>
                <w:szCs w:val="20"/>
              </w:rPr>
              <w:t>5. Bases de Preparación de los Estados Financieros:</w:t>
            </w:r>
            <w:r w:rsidR="00F46719" w:rsidRPr="00880F1C">
              <w:rPr>
                <w:rFonts w:ascii="Arial Narrow" w:hAnsi="Arial Narrow"/>
                <w:noProof/>
                <w:webHidden/>
                <w:sz w:val="20"/>
                <w:szCs w:val="20"/>
              </w:rPr>
              <w:tab/>
            </w:r>
          </w:hyperlink>
          <w:r w:rsidR="00B331FF">
            <w:rPr>
              <w:rFonts w:ascii="Arial Narrow" w:hAnsi="Arial Narrow"/>
              <w:noProof/>
              <w:sz w:val="20"/>
              <w:szCs w:val="20"/>
            </w:rPr>
            <w:t>5</w:t>
          </w:r>
        </w:p>
        <w:p w14:paraId="653AF446" w14:textId="4590826D" w:rsidR="00F46719" w:rsidRPr="00880F1C" w:rsidRDefault="00A52D5F">
          <w:pPr>
            <w:pStyle w:val="TDC2"/>
            <w:tabs>
              <w:tab w:val="right" w:leader="dot" w:pos="9678"/>
            </w:tabs>
            <w:rPr>
              <w:rFonts w:ascii="Arial Narrow" w:hAnsi="Arial Narrow"/>
              <w:noProof/>
              <w:sz w:val="20"/>
              <w:szCs w:val="20"/>
            </w:rPr>
          </w:pPr>
          <w:hyperlink w:anchor="_Toc508279626" w:history="1">
            <w:r w:rsidR="00F46719" w:rsidRPr="00880F1C">
              <w:rPr>
                <w:rStyle w:val="Hipervnculo"/>
                <w:rFonts w:ascii="Arial Narrow" w:hAnsi="Arial Narrow" w:cstheme="minorHAnsi"/>
                <w:noProof/>
                <w:sz w:val="20"/>
                <w:szCs w:val="20"/>
              </w:rPr>
              <w:t>6. Políticas de Contabilidad Significativas:</w:t>
            </w:r>
            <w:r w:rsidR="00F46719" w:rsidRPr="00880F1C">
              <w:rPr>
                <w:rFonts w:ascii="Arial Narrow" w:hAnsi="Arial Narrow"/>
                <w:noProof/>
                <w:webHidden/>
                <w:sz w:val="20"/>
                <w:szCs w:val="20"/>
              </w:rPr>
              <w:tab/>
            </w:r>
            <w:r w:rsidR="00B331FF">
              <w:rPr>
                <w:rFonts w:ascii="Arial Narrow" w:hAnsi="Arial Narrow"/>
                <w:noProof/>
                <w:webHidden/>
                <w:sz w:val="20"/>
                <w:szCs w:val="20"/>
              </w:rPr>
              <w:t>5</w:t>
            </w:r>
          </w:hyperlink>
        </w:p>
        <w:p w14:paraId="21BA046A" w14:textId="3E8A4A5D" w:rsidR="00F46719" w:rsidRPr="00880F1C" w:rsidRDefault="00A52D5F">
          <w:pPr>
            <w:pStyle w:val="TDC2"/>
            <w:tabs>
              <w:tab w:val="right" w:leader="dot" w:pos="9678"/>
            </w:tabs>
            <w:rPr>
              <w:rFonts w:ascii="Arial Narrow" w:hAnsi="Arial Narrow"/>
              <w:noProof/>
              <w:sz w:val="20"/>
              <w:szCs w:val="20"/>
            </w:rPr>
          </w:pPr>
          <w:hyperlink w:anchor="_Toc508279627" w:history="1">
            <w:r w:rsidR="00F46719" w:rsidRPr="00880F1C">
              <w:rPr>
                <w:rStyle w:val="Hipervnculo"/>
                <w:rFonts w:ascii="Arial Narrow" w:hAnsi="Arial Narrow" w:cstheme="minorHAnsi"/>
                <w:noProof/>
                <w:sz w:val="20"/>
                <w:szCs w:val="20"/>
              </w:rPr>
              <w:t>7. Posición en Moneda Extranjera y Protección por Riesgo Cambiario:</w:t>
            </w:r>
            <w:r w:rsidR="00F46719" w:rsidRPr="00880F1C">
              <w:rPr>
                <w:rFonts w:ascii="Arial Narrow" w:hAnsi="Arial Narrow"/>
                <w:noProof/>
                <w:webHidden/>
                <w:sz w:val="20"/>
                <w:szCs w:val="20"/>
              </w:rPr>
              <w:tab/>
            </w:r>
            <w:r w:rsidR="00B331FF">
              <w:rPr>
                <w:rFonts w:ascii="Arial Narrow" w:hAnsi="Arial Narrow"/>
                <w:noProof/>
                <w:webHidden/>
                <w:sz w:val="20"/>
                <w:szCs w:val="20"/>
              </w:rPr>
              <w:t>6</w:t>
            </w:r>
          </w:hyperlink>
        </w:p>
        <w:p w14:paraId="784807F5" w14:textId="53F22D11" w:rsidR="00F46719" w:rsidRPr="00880F1C" w:rsidRDefault="00A52D5F">
          <w:pPr>
            <w:pStyle w:val="TDC2"/>
            <w:tabs>
              <w:tab w:val="right" w:leader="dot" w:pos="9678"/>
            </w:tabs>
            <w:rPr>
              <w:rFonts w:ascii="Arial Narrow" w:hAnsi="Arial Narrow"/>
              <w:noProof/>
              <w:sz w:val="20"/>
              <w:szCs w:val="20"/>
            </w:rPr>
          </w:pPr>
          <w:hyperlink w:anchor="_Toc508279628" w:history="1">
            <w:r w:rsidR="00F46719" w:rsidRPr="00880F1C">
              <w:rPr>
                <w:rStyle w:val="Hipervnculo"/>
                <w:rFonts w:ascii="Arial Narrow" w:hAnsi="Arial Narrow" w:cstheme="minorHAnsi"/>
                <w:noProof/>
                <w:sz w:val="20"/>
                <w:szCs w:val="20"/>
              </w:rPr>
              <w:t>8. Reporte Analítico del Activo:</w:t>
            </w:r>
            <w:r w:rsidR="00F46719" w:rsidRPr="00880F1C">
              <w:rPr>
                <w:rFonts w:ascii="Arial Narrow" w:hAnsi="Arial Narrow"/>
                <w:noProof/>
                <w:webHidden/>
                <w:sz w:val="20"/>
                <w:szCs w:val="20"/>
              </w:rPr>
              <w:tab/>
            </w:r>
            <w:r w:rsidR="00B331FF">
              <w:rPr>
                <w:rFonts w:ascii="Arial Narrow" w:hAnsi="Arial Narrow"/>
                <w:noProof/>
                <w:webHidden/>
                <w:sz w:val="20"/>
                <w:szCs w:val="20"/>
              </w:rPr>
              <w:t>7</w:t>
            </w:r>
          </w:hyperlink>
        </w:p>
        <w:p w14:paraId="7E663DB5" w14:textId="02C58FFF" w:rsidR="00F46719" w:rsidRPr="00880F1C" w:rsidRDefault="00A52D5F">
          <w:pPr>
            <w:pStyle w:val="TDC2"/>
            <w:tabs>
              <w:tab w:val="right" w:leader="dot" w:pos="9678"/>
            </w:tabs>
            <w:rPr>
              <w:rFonts w:ascii="Arial Narrow" w:hAnsi="Arial Narrow"/>
              <w:noProof/>
              <w:sz w:val="20"/>
              <w:szCs w:val="20"/>
            </w:rPr>
          </w:pPr>
          <w:hyperlink w:anchor="_Toc508279629" w:history="1">
            <w:r w:rsidR="00F46719" w:rsidRPr="00880F1C">
              <w:rPr>
                <w:rStyle w:val="Hipervnculo"/>
                <w:rFonts w:ascii="Arial Narrow" w:hAnsi="Arial Narrow" w:cstheme="minorHAnsi"/>
                <w:noProof/>
                <w:sz w:val="20"/>
                <w:szCs w:val="20"/>
              </w:rPr>
              <w:t>9. Fideicomisos, Mandatos y Análogos:</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335A44C3" w14:textId="43C015ED" w:rsidR="00F46719" w:rsidRPr="00880F1C" w:rsidRDefault="00A52D5F">
          <w:pPr>
            <w:pStyle w:val="TDC2"/>
            <w:tabs>
              <w:tab w:val="right" w:leader="dot" w:pos="9678"/>
            </w:tabs>
            <w:rPr>
              <w:rFonts w:ascii="Arial Narrow" w:hAnsi="Arial Narrow"/>
              <w:noProof/>
              <w:sz w:val="20"/>
              <w:szCs w:val="20"/>
            </w:rPr>
          </w:pPr>
          <w:hyperlink w:anchor="_Toc508279630" w:history="1">
            <w:r w:rsidR="00F46719" w:rsidRPr="00880F1C">
              <w:rPr>
                <w:rStyle w:val="Hipervnculo"/>
                <w:rFonts w:ascii="Arial Narrow" w:hAnsi="Arial Narrow" w:cstheme="minorHAnsi"/>
                <w:noProof/>
                <w:sz w:val="20"/>
                <w:szCs w:val="20"/>
              </w:rPr>
              <w:t>10. Reporte de la Recaudación:</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290CB7FF" w14:textId="54FC1934" w:rsidR="00F46719" w:rsidRPr="00880F1C" w:rsidRDefault="00A52D5F">
          <w:pPr>
            <w:pStyle w:val="TDC2"/>
            <w:tabs>
              <w:tab w:val="right" w:leader="dot" w:pos="9678"/>
            </w:tabs>
            <w:rPr>
              <w:rFonts w:ascii="Arial Narrow" w:hAnsi="Arial Narrow"/>
              <w:noProof/>
              <w:sz w:val="20"/>
              <w:szCs w:val="20"/>
            </w:rPr>
          </w:pPr>
          <w:hyperlink w:anchor="_Toc508279631" w:history="1">
            <w:r w:rsidR="00F46719" w:rsidRPr="00880F1C">
              <w:rPr>
                <w:rStyle w:val="Hipervnculo"/>
                <w:rFonts w:ascii="Arial Narrow" w:hAnsi="Arial Narrow" w:cstheme="minorHAnsi"/>
                <w:noProof/>
                <w:sz w:val="20"/>
                <w:szCs w:val="20"/>
              </w:rPr>
              <w:t>11. Información sobre la Deuda y el Reporte Analítico de la Deuda:</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67FB6C3B" w14:textId="04BDA612" w:rsidR="00F46719" w:rsidRPr="00880F1C" w:rsidRDefault="00A52D5F">
          <w:pPr>
            <w:pStyle w:val="TDC2"/>
            <w:tabs>
              <w:tab w:val="right" w:leader="dot" w:pos="9678"/>
            </w:tabs>
            <w:rPr>
              <w:rFonts w:ascii="Arial Narrow" w:hAnsi="Arial Narrow"/>
              <w:noProof/>
              <w:sz w:val="20"/>
              <w:szCs w:val="20"/>
            </w:rPr>
          </w:pPr>
          <w:hyperlink w:anchor="_Toc508279632" w:history="1">
            <w:r w:rsidR="00F46719" w:rsidRPr="00880F1C">
              <w:rPr>
                <w:rStyle w:val="Hipervnculo"/>
                <w:rFonts w:ascii="Arial Narrow" w:hAnsi="Arial Narrow" w:cstheme="minorHAnsi"/>
                <w:noProof/>
                <w:sz w:val="20"/>
                <w:szCs w:val="20"/>
              </w:rPr>
              <w:t>12. Calificaciones otorgadas: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373EEEC" w14:textId="4F1C50AD" w:rsidR="00F46719" w:rsidRPr="00880F1C" w:rsidRDefault="00A52D5F">
          <w:pPr>
            <w:pStyle w:val="TDC2"/>
            <w:tabs>
              <w:tab w:val="right" w:leader="dot" w:pos="9678"/>
            </w:tabs>
            <w:rPr>
              <w:rFonts w:ascii="Arial Narrow" w:hAnsi="Arial Narrow"/>
              <w:noProof/>
              <w:sz w:val="20"/>
              <w:szCs w:val="20"/>
            </w:rPr>
          </w:pPr>
          <w:hyperlink w:anchor="_Toc508279633" w:history="1">
            <w:r w:rsidR="00F46719" w:rsidRPr="00880F1C">
              <w:rPr>
                <w:rStyle w:val="Hipervnculo"/>
                <w:rFonts w:ascii="Arial Narrow" w:hAnsi="Arial Narrow" w:cstheme="minorHAnsi"/>
                <w:noProof/>
                <w:sz w:val="20"/>
                <w:szCs w:val="20"/>
              </w:rPr>
              <w:t>13. Proceso de Mejora:</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01A1A543" w14:textId="6F89DCFC" w:rsidR="00F46719" w:rsidRPr="00880F1C" w:rsidRDefault="00A52D5F">
          <w:pPr>
            <w:pStyle w:val="TDC2"/>
            <w:tabs>
              <w:tab w:val="right" w:leader="dot" w:pos="9678"/>
            </w:tabs>
            <w:rPr>
              <w:rFonts w:ascii="Arial Narrow" w:hAnsi="Arial Narrow"/>
              <w:noProof/>
              <w:sz w:val="20"/>
              <w:szCs w:val="20"/>
            </w:rPr>
          </w:pPr>
          <w:hyperlink w:anchor="_Toc508279634" w:history="1">
            <w:r w:rsidR="00F46719" w:rsidRPr="00880F1C">
              <w:rPr>
                <w:rStyle w:val="Hipervnculo"/>
                <w:rFonts w:ascii="Arial Narrow" w:hAnsi="Arial Narrow" w:cstheme="minorHAnsi"/>
                <w:noProof/>
                <w:sz w:val="20"/>
                <w:szCs w:val="20"/>
              </w:rPr>
              <w:t>14. Información por Segmentos: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14DA06E" w14:textId="01730A51" w:rsidR="00F46719" w:rsidRPr="00880F1C" w:rsidRDefault="00A52D5F">
          <w:pPr>
            <w:pStyle w:val="TDC2"/>
            <w:tabs>
              <w:tab w:val="right" w:leader="dot" w:pos="9678"/>
            </w:tabs>
            <w:rPr>
              <w:rFonts w:ascii="Arial Narrow" w:hAnsi="Arial Narrow"/>
              <w:noProof/>
              <w:sz w:val="20"/>
              <w:szCs w:val="20"/>
            </w:rPr>
          </w:pPr>
          <w:hyperlink w:anchor="_Toc508279635" w:history="1">
            <w:r w:rsidR="00F46719" w:rsidRPr="00880F1C">
              <w:rPr>
                <w:rStyle w:val="Hipervnculo"/>
                <w:rFonts w:ascii="Arial Narrow" w:hAnsi="Arial Narrow" w:cstheme="minorHAnsi"/>
                <w:noProof/>
                <w:sz w:val="20"/>
                <w:szCs w:val="20"/>
              </w:rPr>
              <w:t>15. Eventos Posteriores al Cierre:</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0A10726F" w14:textId="285B025D" w:rsidR="00F46719" w:rsidRPr="00880F1C" w:rsidRDefault="00A52D5F">
          <w:pPr>
            <w:pStyle w:val="TDC2"/>
            <w:tabs>
              <w:tab w:val="right" w:leader="dot" w:pos="9678"/>
            </w:tabs>
            <w:rPr>
              <w:rFonts w:ascii="Arial Narrow" w:hAnsi="Arial Narrow"/>
              <w:noProof/>
              <w:sz w:val="20"/>
              <w:szCs w:val="20"/>
            </w:rPr>
          </w:pPr>
          <w:hyperlink w:anchor="_Toc508279636" w:history="1">
            <w:r w:rsidR="00F46719" w:rsidRPr="00880F1C">
              <w:rPr>
                <w:rStyle w:val="Hipervnculo"/>
                <w:rFonts w:ascii="Arial Narrow" w:hAnsi="Arial Narrow" w:cstheme="minorHAnsi"/>
                <w:noProof/>
                <w:sz w:val="20"/>
                <w:szCs w:val="20"/>
              </w:rPr>
              <w:t>16. Partes Relacionadas: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402BC77" w14:textId="1CDED484" w:rsidR="00F46719" w:rsidRPr="00880F1C" w:rsidRDefault="00A52D5F">
          <w:pPr>
            <w:pStyle w:val="TDC2"/>
            <w:tabs>
              <w:tab w:val="right" w:leader="dot" w:pos="9678"/>
            </w:tabs>
            <w:rPr>
              <w:rFonts w:ascii="Arial Narrow" w:hAnsi="Arial Narrow"/>
              <w:noProof/>
              <w:sz w:val="20"/>
              <w:szCs w:val="20"/>
            </w:rPr>
          </w:pPr>
          <w:hyperlink w:anchor="_Toc508279637" w:history="1">
            <w:r w:rsidR="00F46719" w:rsidRPr="00880F1C">
              <w:rPr>
                <w:rStyle w:val="Hipervnculo"/>
                <w:rFonts w:ascii="Arial Narrow" w:hAnsi="Arial Narrow" w:cstheme="minorHAnsi"/>
                <w:noProof/>
                <w:sz w:val="20"/>
                <w:szCs w:val="20"/>
              </w:rPr>
              <w:t>17. Responsabilidad Sobre la Presentación Razonable de la Información Contable:</w:t>
            </w:r>
            <w:r w:rsidR="00F46719" w:rsidRPr="00880F1C">
              <w:rPr>
                <w:rFonts w:ascii="Arial Narrow" w:hAnsi="Arial Narrow"/>
                <w:noProof/>
                <w:webHidden/>
                <w:sz w:val="20"/>
                <w:szCs w:val="20"/>
              </w:rPr>
              <w:tab/>
            </w:r>
            <w:r w:rsidR="00B331FF">
              <w:rPr>
                <w:rFonts w:ascii="Arial Narrow" w:hAnsi="Arial Narrow"/>
                <w:noProof/>
                <w:webHidden/>
                <w:sz w:val="20"/>
                <w:szCs w:val="20"/>
              </w:rPr>
              <w:t>10</w:t>
            </w:r>
          </w:hyperlink>
        </w:p>
        <w:p w14:paraId="43551857" w14:textId="63089451" w:rsidR="00F46719" w:rsidRDefault="00F46719">
          <w:r w:rsidRPr="00880F1C">
            <w:rPr>
              <w:rFonts w:ascii="Arial Narrow" w:hAnsi="Arial Narrow"/>
              <w:b/>
              <w:bCs/>
              <w:sz w:val="20"/>
              <w:szCs w:val="20"/>
              <w:lang w:val="es-ES"/>
            </w:rPr>
            <w:fldChar w:fldCharType="end"/>
          </w:r>
        </w:p>
      </w:sdtContent>
    </w:sdt>
    <w:p w14:paraId="72327436" w14:textId="19F636CA" w:rsidR="00880F1C" w:rsidRDefault="00880F1C" w:rsidP="00880F1C">
      <w:pPr>
        <w:spacing w:after="0" w:line="240" w:lineRule="auto"/>
        <w:jc w:val="both"/>
        <w:rPr>
          <w:rFonts w:ascii="Arial Narrow" w:hAnsi="Arial Narrow" w:cs="Calibri"/>
          <w:sz w:val="20"/>
          <w:szCs w:val="20"/>
        </w:rPr>
      </w:pPr>
    </w:p>
    <w:p w14:paraId="15A0A6BF" w14:textId="4F29AC2D" w:rsidR="00880F1C" w:rsidRDefault="00880F1C" w:rsidP="00880F1C">
      <w:pPr>
        <w:spacing w:after="0" w:line="240" w:lineRule="auto"/>
        <w:jc w:val="both"/>
        <w:rPr>
          <w:rFonts w:ascii="Arial Narrow" w:hAnsi="Arial Narrow" w:cs="Calibri"/>
          <w:sz w:val="20"/>
          <w:szCs w:val="20"/>
        </w:rPr>
      </w:pPr>
    </w:p>
    <w:p w14:paraId="0CBF1C6F" w14:textId="1AB278E3" w:rsidR="00880F1C" w:rsidRDefault="00880F1C" w:rsidP="00880F1C">
      <w:pPr>
        <w:spacing w:after="0" w:line="240" w:lineRule="auto"/>
        <w:jc w:val="both"/>
        <w:rPr>
          <w:rFonts w:ascii="Arial Narrow" w:hAnsi="Arial Narrow" w:cs="Calibri"/>
          <w:sz w:val="20"/>
          <w:szCs w:val="20"/>
        </w:rPr>
      </w:pPr>
    </w:p>
    <w:p w14:paraId="4BD45689" w14:textId="2C0896D8" w:rsidR="00880F1C" w:rsidRDefault="00880F1C" w:rsidP="00880F1C">
      <w:pPr>
        <w:spacing w:after="0" w:line="240" w:lineRule="auto"/>
        <w:jc w:val="both"/>
        <w:rPr>
          <w:rFonts w:ascii="Arial Narrow" w:hAnsi="Arial Narrow" w:cs="Calibri"/>
          <w:sz w:val="20"/>
          <w:szCs w:val="20"/>
        </w:rPr>
      </w:pPr>
    </w:p>
    <w:p w14:paraId="608FA479" w14:textId="77777777" w:rsidR="00880F1C" w:rsidRPr="008C0A2D" w:rsidRDefault="00880F1C" w:rsidP="00880F1C">
      <w:pPr>
        <w:spacing w:after="0" w:line="240" w:lineRule="auto"/>
        <w:jc w:val="both"/>
        <w:rPr>
          <w:rFonts w:ascii="Arial Narrow" w:hAnsi="Arial Narrow" w:cs="Calibri"/>
          <w:sz w:val="20"/>
          <w:szCs w:val="20"/>
        </w:rPr>
      </w:pPr>
    </w:p>
    <w:p w14:paraId="14A128DE" w14:textId="77777777" w:rsidR="00880F1C" w:rsidRPr="008C0A2D" w:rsidRDefault="00880F1C" w:rsidP="00880F1C">
      <w:pPr>
        <w:spacing w:after="0" w:line="240" w:lineRule="auto"/>
        <w:jc w:val="both"/>
        <w:rPr>
          <w:rFonts w:ascii="Arial Narrow" w:hAnsi="Arial Narrow" w:cs="Calibri"/>
          <w:sz w:val="20"/>
          <w:szCs w:val="20"/>
        </w:rPr>
      </w:pPr>
    </w:p>
    <w:p w14:paraId="5E9C3DA9" w14:textId="77777777" w:rsidR="00E13C6A" w:rsidRDefault="00E13C6A" w:rsidP="00880F1C">
      <w:pPr>
        <w:spacing w:after="0" w:line="240" w:lineRule="auto"/>
        <w:jc w:val="both"/>
        <w:rPr>
          <w:rFonts w:ascii="Arial Narrow" w:hAnsi="Arial Narrow" w:cs="Calibri"/>
          <w:b/>
          <w:sz w:val="20"/>
          <w:szCs w:val="20"/>
        </w:rPr>
      </w:pPr>
    </w:p>
    <w:p w14:paraId="05A979D6" w14:textId="077CECFC"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1. Introducción:</w:t>
      </w:r>
    </w:p>
    <w:p w14:paraId="51B3A829" w14:textId="77777777" w:rsidR="00880F1C" w:rsidRPr="008C0A2D" w:rsidRDefault="00880F1C" w:rsidP="00880F1C">
      <w:pPr>
        <w:autoSpaceDE w:val="0"/>
        <w:autoSpaceDN w:val="0"/>
        <w:adjustRightInd w:val="0"/>
        <w:spacing w:after="0" w:line="240" w:lineRule="exact"/>
        <w:ind w:left="40"/>
        <w:jc w:val="both"/>
        <w:rPr>
          <w:rFonts w:ascii="Arial Narrow" w:hAnsi="Arial Narrow" w:cs="Arial"/>
          <w:color w:val="000000"/>
          <w:sz w:val="20"/>
          <w:szCs w:val="20"/>
        </w:rPr>
      </w:pPr>
    </w:p>
    <w:p w14:paraId="7447072E" w14:textId="77777777" w:rsidR="00880F1C" w:rsidRPr="008C0A2D" w:rsidRDefault="00880F1C" w:rsidP="00880F1C">
      <w:pPr>
        <w:autoSpaceDE w:val="0"/>
        <w:autoSpaceDN w:val="0"/>
        <w:adjustRightInd w:val="0"/>
        <w:spacing w:after="0" w:line="240" w:lineRule="exact"/>
        <w:ind w:left="40"/>
        <w:jc w:val="both"/>
        <w:rPr>
          <w:rFonts w:ascii="Arial Narrow" w:hAnsi="Arial Narrow" w:cs="Arial"/>
          <w:color w:val="000000"/>
          <w:sz w:val="20"/>
          <w:szCs w:val="20"/>
        </w:rPr>
      </w:pPr>
      <w:r w:rsidRPr="008C0A2D">
        <w:rPr>
          <w:rFonts w:ascii="Arial Narrow" w:hAnsi="Arial Narrow" w:cs="Arial"/>
          <w:color w:val="000000"/>
          <w:sz w:val="20"/>
          <w:szCs w:val="20"/>
        </w:rPr>
        <w:t xml:space="preserve">El </w:t>
      </w:r>
      <w:r w:rsidRPr="008C0A2D">
        <w:rPr>
          <w:rFonts w:ascii="Arial Narrow" w:hAnsi="Arial Narrow" w:cs="Arial"/>
          <w:b/>
          <w:color w:val="000000"/>
          <w:sz w:val="20"/>
          <w:szCs w:val="20"/>
        </w:rPr>
        <w:t>Instituto Electoral del Estado de Guanajuato</w:t>
      </w:r>
      <w:r w:rsidRPr="008C0A2D">
        <w:rPr>
          <w:rFonts w:ascii="Arial Narrow" w:hAnsi="Arial Narrow" w:cs="Arial"/>
          <w:color w:val="000000"/>
          <w:sz w:val="20"/>
          <w:szCs w:val="20"/>
        </w:rPr>
        <w:t xml:space="preserve"> es un órgano público autónomo, dotado de independencia funcional, de carácter permanente, con personalidad jurídica, patrimonio propio y facultad reglamentaria, al que corresponde el ejercicio de la función de organizar los procesos electorales en el Estado de Guanajuato.</w:t>
      </w:r>
    </w:p>
    <w:p w14:paraId="63EB6B31" w14:textId="77777777" w:rsidR="00880F1C" w:rsidRPr="008C0A2D" w:rsidRDefault="00880F1C" w:rsidP="00880F1C">
      <w:pPr>
        <w:spacing w:after="0" w:line="240" w:lineRule="auto"/>
        <w:jc w:val="both"/>
        <w:rPr>
          <w:rFonts w:ascii="Arial Narrow" w:hAnsi="Arial Narrow" w:cs="Calibri"/>
          <w:sz w:val="20"/>
          <w:szCs w:val="20"/>
        </w:rPr>
      </w:pPr>
    </w:p>
    <w:p w14:paraId="597C1DD3" w14:textId="77777777" w:rsidR="00880F1C" w:rsidRPr="008C0A2D" w:rsidRDefault="00880F1C" w:rsidP="00880F1C">
      <w:pPr>
        <w:spacing w:after="0" w:line="240" w:lineRule="auto"/>
        <w:jc w:val="both"/>
        <w:rPr>
          <w:rFonts w:ascii="Arial Narrow" w:hAnsi="Arial Narrow" w:cs="Calibri"/>
          <w:sz w:val="20"/>
          <w:szCs w:val="20"/>
        </w:rPr>
      </w:pPr>
    </w:p>
    <w:p w14:paraId="09911E7E"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2. Describir el panorama Económico y Financiero:</w:t>
      </w:r>
    </w:p>
    <w:p w14:paraId="1F4B7E66" w14:textId="77777777" w:rsidR="00880F1C" w:rsidRPr="008C0A2D" w:rsidRDefault="00880F1C" w:rsidP="00880F1C">
      <w:pPr>
        <w:spacing w:after="0" w:line="240" w:lineRule="auto"/>
        <w:jc w:val="both"/>
        <w:rPr>
          <w:rFonts w:ascii="Arial Narrow" w:hAnsi="Arial Narrow" w:cs="Calibri"/>
          <w:sz w:val="20"/>
          <w:szCs w:val="20"/>
        </w:rPr>
      </w:pPr>
    </w:p>
    <w:p w14:paraId="2E3CD27E"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percibe como ingreso único el presupuesto que el Estado le otorga previamente autorizado por el Congreso del Estado.</w:t>
      </w:r>
    </w:p>
    <w:p w14:paraId="0B35CC5F" w14:textId="3BCD0A87" w:rsidR="00880F1C" w:rsidRPr="008C0A2D" w:rsidRDefault="00880F1C" w:rsidP="008A261E">
      <w:pPr>
        <w:jc w:val="both"/>
        <w:rPr>
          <w:rFonts w:ascii="Arial Narrow" w:hAnsi="Arial Narrow" w:cs="Calibri"/>
          <w:sz w:val="20"/>
          <w:szCs w:val="20"/>
        </w:rPr>
      </w:pPr>
      <w:r w:rsidRPr="008C0A2D">
        <w:rPr>
          <w:rFonts w:ascii="Arial Narrow" w:hAnsi="Arial Narrow" w:cs="Arial"/>
          <w:sz w:val="20"/>
          <w:szCs w:val="20"/>
        </w:rPr>
        <w:t xml:space="preserve">Para el ejercicio </w:t>
      </w:r>
      <w:r>
        <w:rPr>
          <w:rFonts w:ascii="Arial Narrow" w:hAnsi="Arial Narrow" w:cs="Arial"/>
          <w:sz w:val="20"/>
          <w:szCs w:val="20"/>
        </w:rPr>
        <w:t xml:space="preserve">fiscal de </w:t>
      </w:r>
      <w:r w:rsidRPr="008C0A2D">
        <w:rPr>
          <w:rFonts w:ascii="Arial Narrow" w:hAnsi="Arial Narrow" w:cs="Arial"/>
          <w:sz w:val="20"/>
          <w:szCs w:val="20"/>
        </w:rPr>
        <w:t>20</w:t>
      </w:r>
      <w:r w:rsidR="00764075">
        <w:rPr>
          <w:rFonts w:ascii="Arial Narrow" w:hAnsi="Arial Narrow" w:cs="Arial"/>
          <w:sz w:val="20"/>
          <w:szCs w:val="20"/>
        </w:rPr>
        <w:t>2</w:t>
      </w:r>
      <w:r w:rsidR="003A10B2">
        <w:rPr>
          <w:rFonts w:ascii="Arial Narrow" w:hAnsi="Arial Narrow" w:cs="Arial"/>
          <w:sz w:val="20"/>
          <w:szCs w:val="20"/>
        </w:rPr>
        <w:t>1</w:t>
      </w:r>
      <w:r w:rsidRPr="008C0A2D">
        <w:rPr>
          <w:rFonts w:ascii="Arial Narrow" w:hAnsi="Arial Narrow" w:cs="Arial"/>
          <w:sz w:val="20"/>
          <w:szCs w:val="20"/>
        </w:rPr>
        <w:t xml:space="preserve">, el Consejo General del Instituto aprobó el anteproyecto de presupuesto en cantidad de </w:t>
      </w:r>
      <w:r>
        <w:rPr>
          <w:rFonts w:ascii="Arial Narrow" w:hAnsi="Arial Narrow" w:cs="Arial"/>
          <w:sz w:val="20"/>
          <w:szCs w:val="20"/>
        </w:rPr>
        <w:t>$</w:t>
      </w:r>
      <w:r w:rsidR="00B115A4" w:rsidRPr="00B115A4">
        <w:rPr>
          <w:rFonts w:ascii="Arial Narrow" w:hAnsi="Arial Narrow" w:cs="Arial"/>
          <w:sz w:val="20"/>
          <w:szCs w:val="20"/>
        </w:rPr>
        <w:t>750</w:t>
      </w:r>
      <w:r w:rsidR="00B115A4">
        <w:rPr>
          <w:rFonts w:ascii="Arial Narrow" w:hAnsi="Arial Narrow" w:cs="Arial"/>
          <w:sz w:val="20"/>
          <w:szCs w:val="20"/>
        </w:rPr>
        <w:t>,</w:t>
      </w:r>
      <w:r w:rsidR="00B115A4" w:rsidRPr="00B115A4">
        <w:rPr>
          <w:rFonts w:ascii="Arial Narrow" w:hAnsi="Arial Narrow" w:cs="Arial"/>
          <w:sz w:val="20"/>
          <w:szCs w:val="20"/>
        </w:rPr>
        <w:t>962</w:t>
      </w:r>
      <w:r w:rsidR="00B115A4">
        <w:rPr>
          <w:rFonts w:ascii="Arial Narrow" w:hAnsi="Arial Narrow" w:cs="Arial"/>
          <w:sz w:val="20"/>
          <w:szCs w:val="20"/>
        </w:rPr>
        <w:t>,</w:t>
      </w:r>
      <w:r w:rsidR="00B115A4" w:rsidRPr="00B115A4">
        <w:rPr>
          <w:rFonts w:ascii="Arial Narrow" w:hAnsi="Arial Narrow" w:cs="Arial"/>
          <w:sz w:val="20"/>
          <w:szCs w:val="20"/>
        </w:rPr>
        <w:t>406.92</w:t>
      </w:r>
      <w:r w:rsidR="00B115A4">
        <w:rPr>
          <w:rFonts w:ascii="Arial Narrow" w:hAnsi="Arial Narrow" w:cs="Arial"/>
          <w:sz w:val="20"/>
          <w:szCs w:val="20"/>
        </w:rPr>
        <w:t xml:space="preserve"> </w:t>
      </w:r>
      <w:r w:rsidRPr="008C0A2D">
        <w:rPr>
          <w:rFonts w:ascii="Arial Narrow" w:hAnsi="Arial Narrow" w:cs="Arial"/>
          <w:sz w:val="20"/>
          <w:szCs w:val="20"/>
        </w:rPr>
        <w:t xml:space="preserve">el cual fue </w:t>
      </w:r>
      <w:r>
        <w:rPr>
          <w:rFonts w:ascii="Arial Narrow" w:hAnsi="Arial Narrow" w:cs="Arial"/>
          <w:sz w:val="20"/>
          <w:szCs w:val="20"/>
        </w:rPr>
        <w:t>presentado por la Secretaría a la Secretaría de Finanzas, Inversión y Administraci</w:t>
      </w:r>
      <w:r w:rsidR="00B331FF">
        <w:rPr>
          <w:rFonts w:ascii="Arial Narrow" w:hAnsi="Arial Narrow" w:cs="Arial"/>
          <w:sz w:val="20"/>
          <w:szCs w:val="20"/>
        </w:rPr>
        <w:t>ón para la</w:t>
      </w:r>
      <w:r w:rsidRPr="008C0A2D">
        <w:rPr>
          <w:rFonts w:ascii="Arial Narrow" w:hAnsi="Arial Narrow" w:cs="Arial"/>
          <w:sz w:val="20"/>
          <w:szCs w:val="20"/>
        </w:rPr>
        <w:t xml:space="preserve"> aprobación por el Congreso del Estado, </w:t>
      </w:r>
      <w:r w:rsidR="00B115A4">
        <w:rPr>
          <w:rFonts w:ascii="Arial Narrow" w:hAnsi="Arial Narrow" w:cs="Arial"/>
          <w:sz w:val="20"/>
          <w:szCs w:val="20"/>
        </w:rPr>
        <w:t xml:space="preserve">dicha cantidad fue </w:t>
      </w:r>
      <w:r w:rsidR="008A261E">
        <w:rPr>
          <w:rFonts w:ascii="Arial Narrow" w:hAnsi="Arial Narrow" w:cs="Arial"/>
          <w:sz w:val="20"/>
          <w:szCs w:val="20"/>
        </w:rPr>
        <w:t xml:space="preserve">ajustada </w:t>
      </w:r>
      <w:r w:rsidR="00B115A4">
        <w:rPr>
          <w:rFonts w:ascii="Arial Narrow" w:hAnsi="Arial Narrow" w:cs="Arial"/>
          <w:sz w:val="20"/>
          <w:szCs w:val="20"/>
        </w:rPr>
        <w:t xml:space="preserve">a la baja </w:t>
      </w:r>
      <w:r w:rsidR="008A261E">
        <w:rPr>
          <w:rFonts w:ascii="Arial Narrow" w:hAnsi="Arial Narrow" w:cs="Arial"/>
          <w:sz w:val="20"/>
          <w:szCs w:val="20"/>
        </w:rPr>
        <w:t xml:space="preserve">por el Congreso del Estado, </w:t>
      </w:r>
      <w:r w:rsidRPr="008C0A2D">
        <w:rPr>
          <w:rFonts w:ascii="Arial Narrow" w:hAnsi="Arial Narrow" w:cs="Arial"/>
          <w:sz w:val="20"/>
          <w:szCs w:val="20"/>
        </w:rPr>
        <w:t>quedando autorizado</w:t>
      </w:r>
      <w:r w:rsidR="008A261E">
        <w:rPr>
          <w:rFonts w:ascii="Arial Narrow" w:hAnsi="Arial Narrow" w:cs="Arial"/>
          <w:sz w:val="20"/>
          <w:szCs w:val="20"/>
        </w:rPr>
        <w:t xml:space="preserve"> el presupuesto por la cantidad de </w:t>
      </w:r>
      <w:r w:rsidR="008A261E" w:rsidRPr="008A261E">
        <w:rPr>
          <w:rFonts w:ascii="Arial Narrow" w:hAnsi="Arial Narrow" w:cs="Arial"/>
          <w:sz w:val="20"/>
          <w:szCs w:val="20"/>
        </w:rPr>
        <w:t>$700,894,773.36</w:t>
      </w:r>
      <w:r w:rsidR="008A261E">
        <w:rPr>
          <w:rFonts w:ascii="Arial Narrow" w:hAnsi="Arial Narrow" w:cs="Arial"/>
          <w:sz w:val="20"/>
          <w:szCs w:val="20"/>
        </w:rPr>
        <w:t>.</w:t>
      </w:r>
    </w:p>
    <w:p w14:paraId="29EE0399" w14:textId="77777777" w:rsidR="00880F1C" w:rsidRPr="008C0A2D" w:rsidRDefault="00880F1C" w:rsidP="00880F1C">
      <w:pPr>
        <w:spacing w:after="0" w:line="240" w:lineRule="auto"/>
        <w:jc w:val="both"/>
        <w:rPr>
          <w:rFonts w:ascii="Arial Narrow" w:hAnsi="Arial Narrow" w:cs="Calibri"/>
          <w:sz w:val="20"/>
          <w:szCs w:val="20"/>
        </w:rPr>
      </w:pPr>
    </w:p>
    <w:p w14:paraId="2B0CC911"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3. Autorización e Historia:</w:t>
      </w:r>
    </w:p>
    <w:p w14:paraId="248A6BC4" w14:textId="77777777" w:rsidR="00880F1C" w:rsidRPr="008C0A2D" w:rsidRDefault="00880F1C" w:rsidP="00880F1C">
      <w:pPr>
        <w:spacing w:after="0" w:line="240" w:lineRule="auto"/>
        <w:jc w:val="both"/>
        <w:rPr>
          <w:rFonts w:ascii="Arial Narrow" w:hAnsi="Arial Narrow" w:cs="Calibri"/>
          <w:sz w:val="20"/>
          <w:szCs w:val="20"/>
        </w:rPr>
      </w:pPr>
    </w:p>
    <w:p w14:paraId="6D5508D4"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a) </w:t>
      </w:r>
      <w:r w:rsidRPr="008C0A2D">
        <w:rPr>
          <w:rFonts w:ascii="Arial Narrow" w:hAnsi="Arial Narrow" w:cs="Arial"/>
          <w:sz w:val="20"/>
          <w:szCs w:val="20"/>
        </w:rPr>
        <w:t>Fecha de creación del Instituto.</w:t>
      </w:r>
    </w:p>
    <w:p w14:paraId="7240A9EB" w14:textId="77777777" w:rsidR="00880F1C" w:rsidRPr="008C0A2D" w:rsidRDefault="00880F1C" w:rsidP="00880F1C">
      <w:pPr>
        <w:spacing w:after="0" w:line="240" w:lineRule="exact"/>
        <w:jc w:val="both"/>
        <w:rPr>
          <w:rFonts w:ascii="Arial Narrow" w:hAnsi="Arial Narrow" w:cs="Arial"/>
          <w:sz w:val="20"/>
          <w:szCs w:val="20"/>
        </w:rPr>
      </w:pPr>
    </w:p>
    <w:p w14:paraId="35C394C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fue creado por el decreto número 20 emitido por la Honorable Quincuagésima Sexta Legislatura Constitucional del Estado Libre y Soberano de Guanajuato, publicado en el Periódico Oficial del Gobierno del Estado de Guanajuato el 22 de noviembre de 1994.</w:t>
      </w:r>
    </w:p>
    <w:p w14:paraId="2B2F929A" w14:textId="77777777" w:rsidR="00880F1C" w:rsidRPr="008C0A2D" w:rsidRDefault="00880F1C" w:rsidP="00880F1C">
      <w:pPr>
        <w:spacing w:after="0" w:line="240" w:lineRule="exact"/>
        <w:jc w:val="both"/>
        <w:rPr>
          <w:rFonts w:ascii="Arial Narrow" w:hAnsi="Arial Narrow" w:cs="Arial"/>
          <w:sz w:val="20"/>
          <w:szCs w:val="20"/>
        </w:rPr>
      </w:pPr>
    </w:p>
    <w:p w14:paraId="5B17DE8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176 de la Sexagésima Segunda Legislatura Constitucional del Estado de Guanajuato, publicado en el Periódico Oficial del Gobierno del Estado de Guanajuato, número 102, tercera parte, de fecha 27 de junio de 2014, se reformaron, adicionaron y derogaron diversos artículos de la Constitución Política para el Estado de Guanajuato.</w:t>
      </w:r>
    </w:p>
    <w:p w14:paraId="3DC0F746" w14:textId="77777777" w:rsidR="00880F1C" w:rsidRPr="008C0A2D" w:rsidRDefault="00880F1C" w:rsidP="00880F1C">
      <w:pPr>
        <w:spacing w:after="0" w:line="240" w:lineRule="exact"/>
        <w:jc w:val="both"/>
        <w:rPr>
          <w:rFonts w:ascii="Arial Narrow" w:hAnsi="Arial Narrow" w:cs="Arial"/>
          <w:sz w:val="20"/>
          <w:szCs w:val="20"/>
        </w:rPr>
      </w:pPr>
    </w:p>
    <w:p w14:paraId="2EDB198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el párrafo primero del artículo tercero transitorio de dicho decreto, se establece que al extinguirse el Instituto Electoral del Estado de Guanajuato, los recursos humanos y materiales pasarán a formar parte del patrimonio de la autoridad electoral administrativa local, sin menoscabo de los derechos adquiridos de los trabajadores.</w:t>
      </w:r>
    </w:p>
    <w:p w14:paraId="266F8632" w14:textId="77777777" w:rsidR="00880F1C" w:rsidRPr="008C0A2D" w:rsidRDefault="00880F1C" w:rsidP="00880F1C">
      <w:pPr>
        <w:spacing w:after="0" w:line="240" w:lineRule="exact"/>
        <w:jc w:val="both"/>
        <w:rPr>
          <w:rFonts w:ascii="Arial Narrow" w:hAnsi="Arial Narrow" w:cs="Arial"/>
          <w:sz w:val="20"/>
          <w:szCs w:val="20"/>
        </w:rPr>
      </w:pPr>
    </w:p>
    <w:p w14:paraId="1F7BF57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180 de la Sexagésima Segunda Legislatura Constitucional del Estado de Guanajuato, publicado en el Periódico Oficial del Gobierno del Estado de Guanajuato, número 102, cuarta parte, de fecha 27 de junio de 2014, se expidió la Ley de Instituciones y Procedimientos Electorales para el Estado de Guanajuato.</w:t>
      </w:r>
    </w:p>
    <w:p w14:paraId="7183E29D" w14:textId="77777777" w:rsidR="00880F1C" w:rsidRPr="008C0A2D" w:rsidRDefault="00880F1C" w:rsidP="00880F1C">
      <w:pPr>
        <w:spacing w:after="0" w:line="240" w:lineRule="exact"/>
        <w:jc w:val="both"/>
        <w:rPr>
          <w:rFonts w:ascii="Arial Narrow" w:hAnsi="Arial Narrow" w:cs="Arial"/>
          <w:sz w:val="20"/>
          <w:szCs w:val="20"/>
        </w:rPr>
      </w:pPr>
    </w:p>
    <w:p w14:paraId="6B9996D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artículo segundo transitorio de dicho decreto abroga el decreto número 20 publicado en el Periódico Oficial del Gobierno del Estado de Guanajuato, número 93, tercera parte de fecha 22 de noviembre de 1994, que expide el Código de Instituciones y Procedimientos Electorales para el Estado de Guanajuato, así como sus reformas y adiciones.</w:t>
      </w:r>
    </w:p>
    <w:p w14:paraId="7E3BE4CE" w14:textId="77777777" w:rsidR="00880F1C" w:rsidRPr="008C0A2D" w:rsidRDefault="00880F1C" w:rsidP="00880F1C">
      <w:pPr>
        <w:spacing w:after="0" w:line="240" w:lineRule="exact"/>
        <w:jc w:val="both"/>
        <w:rPr>
          <w:rFonts w:ascii="Arial Narrow" w:hAnsi="Arial Narrow" w:cs="Arial"/>
          <w:sz w:val="20"/>
          <w:szCs w:val="20"/>
        </w:rPr>
      </w:pPr>
    </w:p>
    <w:p w14:paraId="5AC5B00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el párrafo primero del artículo noveno transitorio del referido decreto número 180 se indica que se extingue el Instituto Electoral del Estado de Guanajuato creado mediante el decreto número 20 publicado en el Periódico Oficial del Gobierno del Estado de Guanajuato, número 93, tercera parte de fecha 22 de noviembre de 1994, que expidió el Código de Instituciones y Procedimientos Electorales para el Estado de Guanajuato. Se señala además que los recursos materiales pasarán a formar parte del patrimonio de la autoridad electoral administrativa local, mientras el personal de la dependencia, conforme a su estatus laboral pasará a integrar la nueva institución, sin menoscabo de los derechos adquiridos de los trabajadores.</w:t>
      </w:r>
    </w:p>
    <w:p w14:paraId="6CFF5D8D" w14:textId="77777777" w:rsidR="00880F1C" w:rsidRPr="008C0A2D" w:rsidRDefault="00880F1C" w:rsidP="00880F1C">
      <w:pPr>
        <w:spacing w:after="0" w:line="240" w:lineRule="exact"/>
        <w:jc w:val="both"/>
        <w:rPr>
          <w:rFonts w:ascii="Arial Narrow" w:hAnsi="Arial Narrow" w:cs="Arial"/>
          <w:sz w:val="20"/>
          <w:szCs w:val="20"/>
        </w:rPr>
      </w:pPr>
    </w:p>
    <w:p w14:paraId="1BB4D5F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Conforme a lo establecido por el artículo 31 de la Constitución Política para el Estado de Guanajuato reformada mediante el decreto número 176, así como por el capítulo primero del título tercero de la Ley de Instituciones y Procedimientos Electorales para el Estado de Guanajuato emitida mediante el decreto número 180, ambos de la Sexagésima Segunda Legislatura Constitucional del Estado de </w:t>
      </w:r>
      <w:r w:rsidRPr="008C0A2D">
        <w:rPr>
          <w:rFonts w:ascii="Arial Narrow" w:hAnsi="Arial Narrow" w:cs="Arial"/>
          <w:sz w:val="20"/>
          <w:szCs w:val="20"/>
        </w:rPr>
        <w:lastRenderedPageBreak/>
        <w:t>Guanajuato, publicados en el Periódico Oficial del Gobierno del Estado de Guanajuato, número 102, tercera y cuarta parte respectivamente, de fecha 27 de junio de 2014, se crea el Instituto Electoral del Estado de Guanajuato como autoridad en la materia electoral, dotado de personalidad jurídica y patrimonio propios, y gozará de autonomía en su funcionamiento e independencia en sus decisiones, profesional en su desempeño y se regirá por los principios de certeza, imparcialidad, independencia, legalidad, máxima publicidad y objetividad, en los términos que establece la Constitución Federal, la Ley General de Instituciones y Procedimientos Electorales, la Constitución del Estado y la Ley de Instituciones y Procedimientos Electorales para el Estado de Guanajuato.</w:t>
      </w:r>
    </w:p>
    <w:p w14:paraId="03816CBB" w14:textId="77777777" w:rsidR="00880F1C" w:rsidRPr="008C0A2D" w:rsidRDefault="00880F1C" w:rsidP="00880F1C">
      <w:pPr>
        <w:spacing w:after="0" w:line="240" w:lineRule="exact"/>
        <w:jc w:val="both"/>
        <w:rPr>
          <w:rFonts w:ascii="Arial Narrow" w:hAnsi="Arial Narrow" w:cs="Arial"/>
          <w:sz w:val="20"/>
          <w:szCs w:val="20"/>
        </w:rPr>
      </w:pPr>
    </w:p>
    <w:p w14:paraId="1734E90D"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b) </w:t>
      </w:r>
      <w:r w:rsidRPr="008C0A2D">
        <w:rPr>
          <w:rFonts w:ascii="Arial Narrow" w:hAnsi="Arial Narrow" w:cs="Arial"/>
          <w:sz w:val="20"/>
          <w:szCs w:val="20"/>
        </w:rPr>
        <w:t>Principales cambios en su estructura (interna históricamente).</w:t>
      </w:r>
    </w:p>
    <w:p w14:paraId="63DD4427" w14:textId="77777777" w:rsidR="00880F1C" w:rsidRPr="008C0A2D" w:rsidRDefault="00880F1C" w:rsidP="00880F1C">
      <w:pPr>
        <w:spacing w:after="0" w:line="240" w:lineRule="exact"/>
        <w:jc w:val="both"/>
        <w:rPr>
          <w:rFonts w:ascii="Arial Narrow" w:hAnsi="Arial Narrow" w:cs="Arial"/>
          <w:b/>
          <w:sz w:val="20"/>
          <w:szCs w:val="20"/>
        </w:rPr>
      </w:pPr>
    </w:p>
    <w:p w14:paraId="3A8C815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Con motivo de las reformas legales a que se hace referencia en el inciso que antecede, así como por el artículo cuarto transitorio del decreto número 180 que expidió la Ley de Instituciones y Procedimientos Electorales para el Estado de Guanajuato, se señala que hasta en tanto el Instituto Nacional Electoral emita el Estatuto del Servicio Profesional Electoral Nacional que contenga los niveles o rangos y el catálogo general de cargos y puestos del personal ejecutivo y técnico, así como los requisitos de selección, ingreso, capacitación, profesionalización, promoción, evaluación, rotación, permanencia y disciplina, el Instituto Electoral del Estado de Guanajuato aplicará la estructura orgánica prevista en el capítulo primero del libro tercero de la Ley de Instituciones y Procedimientos Electorales para el Estado de Guanajuato.</w:t>
      </w:r>
    </w:p>
    <w:p w14:paraId="3B4B5D32" w14:textId="77777777" w:rsidR="00880F1C" w:rsidRPr="008C0A2D" w:rsidRDefault="00880F1C" w:rsidP="00880F1C">
      <w:pPr>
        <w:spacing w:after="0" w:line="240" w:lineRule="auto"/>
        <w:jc w:val="both"/>
        <w:rPr>
          <w:rFonts w:ascii="Arial Narrow" w:hAnsi="Arial Narrow" w:cs="Calibri"/>
          <w:sz w:val="20"/>
          <w:szCs w:val="20"/>
        </w:rPr>
      </w:pPr>
    </w:p>
    <w:p w14:paraId="55431889"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4. Organización y Objeto Social:</w:t>
      </w:r>
    </w:p>
    <w:p w14:paraId="0A1123A7" w14:textId="77777777" w:rsidR="00880F1C" w:rsidRPr="008C0A2D" w:rsidRDefault="00880F1C" w:rsidP="00880F1C">
      <w:pPr>
        <w:spacing w:after="0" w:line="240" w:lineRule="auto"/>
        <w:jc w:val="both"/>
        <w:rPr>
          <w:rFonts w:ascii="Arial Narrow" w:hAnsi="Arial Narrow" w:cs="Calibri"/>
          <w:sz w:val="20"/>
          <w:szCs w:val="20"/>
        </w:rPr>
      </w:pPr>
    </w:p>
    <w:p w14:paraId="4E91760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Objeto social.</w:t>
      </w:r>
    </w:p>
    <w:p w14:paraId="3D6941B5"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Calibri"/>
          <w:b/>
          <w:sz w:val="20"/>
          <w:szCs w:val="20"/>
        </w:rPr>
        <w:t>Esta nota no le aplica al ente público</w:t>
      </w:r>
    </w:p>
    <w:p w14:paraId="0A0A96D2" w14:textId="77777777" w:rsidR="00880F1C" w:rsidRPr="008C0A2D" w:rsidRDefault="00880F1C" w:rsidP="00880F1C">
      <w:pPr>
        <w:spacing w:after="0" w:line="240" w:lineRule="auto"/>
        <w:jc w:val="both"/>
        <w:rPr>
          <w:rFonts w:ascii="Arial Narrow" w:hAnsi="Arial Narrow" w:cs="Calibri"/>
          <w:sz w:val="20"/>
          <w:szCs w:val="20"/>
        </w:rPr>
      </w:pPr>
    </w:p>
    <w:p w14:paraId="5348B68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Principal actividad.</w:t>
      </w:r>
    </w:p>
    <w:p w14:paraId="278E3FE4" w14:textId="77777777" w:rsidR="00880F1C" w:rsidRPr="008C0A2D" w:rsidRDefault="00880F1C" w:rsidP="00880F1C">
      <w:pPr>
        <w:spacing w:after="0" w:line="240" w:lineRule="exact"/>
        <w:jc w:val="both"/>
        <w:rPr>
          <w:rFonts w:ascii="Arial Narrow" w:hAnsi="Arial Narrow" w:cs="Arial"/>
          <w:b/>
          <w:sz w:val="20"/>
          <w:szCs w:val="20"/>
        </w:rPr>
      </w:pPr>
    </w:p>
    <w:p w14:paraId="1735DD2E" w14:textId="615B5E18"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tiene como función principal la organización de las elecciones en el Estado para Gobernador, Diputados del Congreso del Estado y Ayuntamientos, en concurrencia con los poderes del Estado, de los partidos políticos y de los ciudadanos, bajo los principios de certeza, imparcialidad, independencia, legalidad, máxima publicidad y objetividad. Adem</w:t>
      </w:r>
      <w:r w:rsidR="00B331FF">
        <w:rPr>
          <w:rFonts w:ascii="Arial Narrow" w:hAnsi="Arial Narrow" w:cs="Arial"/>
          <w:sz w:val="20"/>
          <w:szCs w:val="20"/>
        </w:rPr>
        <w:t>á</w:t>
      </w:r>
      <w:r w:rsidRPr="008C0A2D">
        <w:rPr>
          <w:rFonts w:ascii="Arial Narrow" w:hAnsi="Arial Narrow" w:cs="Arial"/>
          <w:sz w:val="20"/>
          <w:szCs w:val="20"/>
        </w:rPr>
        <w:t>s tiene como función la organización, desarrollo y validación de las diversas formas de participación ciudadana establecidas en la Constitución Política para el Estado de Guanajuato.</w:t>
      </w:r>
    </w:p>
    <w:p w14:paraId="0872EEE7" w14:textId="77777777" w:rsidR="00880F1C" w:rsidRPr="008C0A2D" w:rsidRDefault="00880F1C" w:rsidP="00880F1C">
      <w:pPr>
        <w:spacing w:after="0" w:line="240" w:lineRule="exact"/>
        <w:jc w:val="both"/>
        <w:rPr>
          <w:rFonts w:ascii="Arial Narrow" w:hAnsi="Arial Narrow" w:cs="Arial"/>
          <w:sz w:val="20"/>
          <w:szCs w:val="20"/>
        </w:rPr>
      </w:pPr>
    </w:p>
    <w:p w14:paraId="3C43C871"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c) </w:t>
      </w:r>
      <w:r w:rsidRPr="008C0A2D">
        <w:rPr>
          <w:rFonts w:ascii="Arial Narrow" w:hAnsi="Arial Narrow" w:cs="Arial"/>
          <w:sz w:val="20"/>
          <w:szCs w:val="20"/>
        </w:rPr>
        <w:t>Ejercicio fiscal.</w:t>
      </w:r>
      <w:r w:rsidRPr="008C0A2D">
        <w:rPr>
          <w:rFonts w:ascii="Arial Narrow" w:hAnsi="Arial Narrow" w:cs="Arial"/>
          <w:b/>
          <w:sz w:val="20"/>
          <w:szCs w:val="20"/>
        </w:rPr>
        <w:t xml:space="preserve"> </w:t>
      </w:r>
    </w:p>
    <w:p w14:paraId="0F6D7D8E" w14:textId="77777777" w:rsidR="00880F1C" w:rsidRPr="008C0A2D" w:rsidRDefault="00880F1C" w:rsidP="00880F1C">
      <w:pPr>
        <w:spacing w:after="0" w:line="240" w:lineRule="exact"/>
        <w:jc w:val="both"/>
        <w:rPr>
          <w:rFonts w:ascii="Arial Narrow" w:hAnsi="Arial Narrow" w:cs="Arial"/>
          <w:sz w:val="20"/>
          <w:szCs w:val="20"/>
        </w:rPr>
      </w:pPr>
    </w:p>
    <w:p w14:paraId="767676A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ejercicio fiscal del Instituto Electoral del Estado de Guanajuato comprende del 1° de enero al 31 de diciembre de cada año.</w:t>
      </w:r>
    </w:p>
    <w:p w14:paraId="39B26B6A" w14:textId="77777777" w:rsidR="00880F1C" w:rsidRPr="008C0A2D" w:rsidRDefault="00880F1C" w:rsidP="00880F1C">
      <w:pPr>
        <w:spacing w:after="0" w:line="240" w:lineRule="exact"/>
        <w:jc w:val="both"/>
        <w:rPr>
          <w:rFonts w:ascii="Arial Narrow" w:hAnsi="Arial Narrow" w:cs="Arial"/>
          <w:sz w:val="20"/>
          <w:szCs w:val="20"/>
        </w:rPr>
      </w:pPr>
    </w:p>
    <w:p w14:paraId="0CCF827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d) </w:t>
      </w:r>
      <w:r w:rsidRPr="008C0A2D">
        <w:rPr>
          <w:rFonts w:ascii="Arial Narrow" w:hAnsi="Arial Narrow" w:cs="Arial"/>
          <w:sz w:val="20"/>
          <w:szCs w:val="20"/>
        </w:rPr>
        <w:t>Régimen jurídico.</w:t>
      </w:r>
    </w:p>
    <w:p w14:paraId="0FCD21F1" w14:textId="77777777" w:rsidR="00880F1C" w:rsidRPr="008C0A2D" w:rsidRDefault="00880F1C" w:rsidP="00880F1C">
      <w:pPr>
        <w:spacing w:after="0" w:line="240" w:lineRule="exact"/>
        <w:jc w:val="both"/>
        <w:rPr>
          <w:rFonts w:ascii="Arial Narrow" w:hAnsi="Arial Narrow" w:cs="Arial"/>
          <w:sz w:val="20"/>
          <w:szCs w:val="20"/>
        </w:rPr>
      </w:pPr>
    </w:p>
    <w:p w14:paraId="4B9BE70D"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Por atribución constitucional, el Instituto Electoral del Estado de Guanajuato es organismo autónomo, funcionalmente independiente, dotado de personalidad jurídica, patrimonio propio y facultad reglamentaria.</w:t>
      </w:r>
    </w:p>
    <w:p w14:paraId="36FBC90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régimen jurídico que lo regula se encuentra contenido principalmente en la Constitución Política para el Estado de Guanajuato, la Ley de Instituciones y Procedimientos Electorales para el Estado de Guanajuato, en el Código de Instituciones y Procedimientos Electorales para el Estado de Guanajuato vigente hasta junio de 2014 y la Constitución Federal y la Ley General de Instituciones y Procedimientos Electorales.</w:t>
      </w:r>
    </w:p>
    <w:p w14:paraId="745BA2D9" w14:textId="77777777" w:rsidR="00880F1C" w:rsidRPr="008C0A2D" w:rsidRDefault="00880F1C" w:rsidP="00880F1C">
      <w:pPr>
        <w:spacing w:after="0" w:line="240" w:lineRule="exact"/>
        <w:jc w:val="both"/>
        <w:rPr>
          <w:rFonts w:ascii="Arial Narrow" w:hAnsi="Arial Narrow" w:cs="Arial"/>
          <w:sz w:val="20"/>
          <w:szCs w:val="20"/>
        </w:rPr>
      </w:pPr>
    </w:p>
    <w:p w14:paraId="7A835D7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se encuentra dado de alta ante la Secretaría de Hacienda y Crédito Público bajo el régimen de persona moral no contribuyente del impuesto sobre la renta.</w:t>
      </w:r>
    </w:p>
    <w:p w14:paraId="1CA550CF" w14:textId="77777777" w:rsidR="00880F1C" w:rsidRPr="008C0A2D" w:rsidRDefault="00880F1C" w:rsidP="00880F1C">
      <w:pPr>
        <w:spacing w:after="0" w:line="240" w:lineRule="exact"/>
        <w:jc w:val="both"/>
        <w:rPr>
          <w:rFonts w:ascii="Arial Narrow" w:hAnsi="Arial Narrow" w:cs="Arial"/>
          <w:sz w:val="20"/>
          <w:szCs w:val="20"/>
        </w:rPr>
      </w:pPr>
    </w:p>
    <w:p w14:paraId="0D19E00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Consideraciones fiscales del ente.</w:t>
      </w:r>
    </w:p>
    <w:p w14:paraId="34B53E2C" w14:textId="77777777" w:rsidR="00880F1C" w:rsidRPr="008C0A2D" w:rsidRDefault="00880F1C" w:rsidP="00880F1C">
      <w:pPr>
        <w:spacing w:after="0" w:line="240" w:lineRule="exact"/>
        <w:jc w:val="both"/>
        <w:rPr>
          <w:rFonts w:ascii="Arial Narrow" w:hAnsi="Arial Narrow" w:cs="Arial"/>
          <w:sz w:val="20"/>
          <w:szCs w:val="20"/>
        </w:rPr>
      </w:pPr>
    </w:p>
    <w:p w14:paraId="281EE39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tiene las siguientes obligaciones fiscales: en el ámbito federal es retenedor de impuesto sobre la renta en sueldos, honorarios y arrendamientos; en el ámbito estatal es contribuyente del impuesto sobre nóminas y retenedor del impuesto cedular sobre honorarios y arrendamientos; adicionalmente el instituto aporta las cuotas correspondientes al ISSSTE y al ISSEG.</w:t>
      </w:r>
    </w:p>
    <w:p w14:paraId="440E0E3E" w14:textId="77777777" w:rsidR="00880F1C" w:rsidRPr="008C0A2D" w:rsidRDefault="00880F1C" w:rsidP="00880F1C">
      <w:pPr>
        <w:spacing w:after="0" w:line="240" w:lineRule="exact"/>
        <w:jc w:val="both"/>
        <w:rPr>
          <w:rFonts w:ascii="Arial Narrow" w:hAnsi="Arial Narrow" w:cs="Arial"/>
          <w:sz w:val="20"/>
          <w:szCs w:val="20"/>
        </w:rPr>
      </w:pPr>
    </w:p>
    <w:p w14:paraId="6A453A0F" w14:textId="77777777" w:rsidR="00880F1C" w:rsidRPr="008C0A2D" w:rsidRDefault="00880F1C" w:rsidP="00880F1C">
      <w:pPr>
        <w:spacing w:after="0" w:line="240" w:lineRule="auto"/>
        <w:jc w:val="both"/>
        <w:rPr>
          <w:rFonts w:ascii="Arial Narrow" w:hAnsi="Arial Narrow" w:cs="Calibri"/>
          <w:sz w:val="20"/>
          <w:szCs w:val="20"/>
        </w:rPr>
      </w:pPr>
    </w:p>
    <w:p w14:paraId="7CD153F9" w14:textId="77777777" w:rsidR="00880F1C" w:rsidRPr="008C0A2D" w:rsidRDefault="00880F1C" w:rsidP="00880F1C">
      <w:pPr>
        <w:spacing w:after="0" w:line="240" w:lineRule="auto"/>
        <w:jc w:val="both"/>
        <w:rPr>
          <w:rFonts w:ascii="Arial Narrow" w:hAnsi="Arial Narrow" w:cs="Calibri"/>
          <w:sz w:val="20"/>
          <w:szCs w:val="20"/>
        </w:rPr>
      </w:pPr>
    </w:p>
    <w:p w14:paraId="058F6156" w14:textId="77777777" w:rsidR="00880F1C" w:rsidRPr="008C0A2D" w:rsidRDefault="00880F1C" w:rsidP="00880F1C">
      <w:pPr>
        <w:spacing w:after="0" w:line="240" w:lineRule="auto"/>
        <w:jc w:val="both"/>
        <w:rPr>
          <w:rFonts w:ascii="Arial Narrow" w:hAnsi="Arial Narrow" w:cs="Calibri"/>
          <w:sz w:val="20"/>
          <w:szCs w:val="20"/>
        </w:rPr>
      </w:pPr>
    </w:p>
    <w:p w14:paraId="45F44F6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Estructura organizacional básica.</w:t>
      </w:r>
    </w:p>
    <w:p w14:paraId="489741F1" w14:textId="77777777" w:rsidR="00880F1C" w:rsidRPr="008C0A2D" w:rsidRDefault="00880F1C" w:rsidP="00880F1C">
      <w:pPr>
        <w:spacing w:after="0" w:line="240" w:lineRule="exact"/>
        <w:jc w:val="both"/>
        <w:rPr>
          <w:rFonts w:ascii="Arial Narrow" w:hAnsi="Arial Narrow" w:cs="Arial"/>
          <w:sz w:val="20"/>
          <w:szCs w:val="20"/>
        </w:rPr>
      </w:pPr>
    </w:p>
    <w:p w14:paraId="7156000D" w14:textId="4A3DE2F5" w:rsidR="00764075" w:rsidRDefault="00764075" w:rsidP="00880F1C">
      <w:pPr>
        <w:spacing w:after="0" w:line="240" w:lineRule="auto"/>
        <w:jc w:val="both"/>
        <w:rPr>
          <w:noProof/>
        </w:rPr>
      </w:pPr>
      <w:r w:rsidRPr="00764075">
        <w:rPr>
          <w:noProof/>
        </w:rPr>
        <w:drawing>
          <wp:inline distT="0" distB="0" distL="0" distR="0" wp14:anchorId="4338A706" wp14:editId="3D3DCDB7">
            <wp:extent cx="6067425" cy="37990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71353" cy="3801489"/>
                    </a:xfrm>
                    <a:prstGeom prst="rect">
                      <a:avLst/>
                    </a:prstGeom>
                  </pic:spPr>
                </pic:pic>
              </a:graphicData>
            </a:graphic>
          </wp:inline>
        </w:drawing>
      </w:r>
    </w:p>
    <w:p w14:paraId="2044548A" w14:textId="77777777" w:rsidR="00764075" w:rsidRDefault="00764075" w:rsidP="00880F1C">
      <w:pPr>
        <w:spacing w:after="0" w:line="240" w:lineRule="auto"/>
        <w:jc w:val="both"/>
        <w:rPr>
          <w:noProof/>
        </w:rPr>
      </w:pPr>
    </w:p>
    <w:p w14:paraId="6DC9895F" w14:textId="0709C9BD" w:rsidR="00880F1C" w:rsidRPr="008C0A2D" w:rsidRDefault="00880F1C" w:rsidP="00880F1C">
      <w:pPr>
        <w:spacing w:after="0" w:line="240" w:lineRule="auto"/>
        <w:jc w:val="both"/>
        <w:rPr>
          <w:rFonts w:cs="Calibri"/>
        </w:rPr>
      </w:pPr>
    </w:p>
    <w:p w14:paraId="67A80502" w14:textId="77777777" w:rsidR="00880F1C" w:rsidRPr="008C0A2D" w:rsidRDefault="00880F1C" w:rsidP="00880F1C">
      <w:pPr>
        <w:spacing w:after="0" w:line="240" w:lineRule="auto"/>
        <w:jc w:val="both"/>
        <w:rPr>
          <w:rFonts w:cs="Calibri"/>
          <w:b/>
        </w:rPr>
      </w:pPr>
    </w:p>
    <w:p w14:paraId="33D5158A" w14:textId="77777777" w:rsidR="00880F1C" w:rsidRPr="008C0A2D" w:rsidRDefault="00880F1C" w:rsidP="00880F1C">
      <w:pPr>
        <w:spacing w:after="0" w:line="240" w:lineRule="auto"/>
        <w:jc w:val="both"/>
        <w:rPr>
          <w:rFonts w:cs="Calibri"/>
          <w:b/>
        </w:rPr>
      </w:pPr>
    </w:p>
    <w:p w14:paraId="10A8139F" w14:textId="77777777" w:rsidR="00880F1C" w:rsidRPr="008C0A2D" w:rsidRDefault="00880F1C" w:rsidP="00880F1C">
      <w:pPr>
        <w:spacing w:after="0" w:line="240" w:lineRule="auto"/>
        <w:jc w:val="both"/>
      </w:pPr>
    </w:p>
    <w:p w14:paraId="3A7FAA8A" w14:textId="369E99B5" w:rsidR="00880F1C" w:rsidRDefault="00764075" w:rsidP="00880F1C">
      <w:pPr>
        <w:spacing w:after="0" w:line="240" w:lineRule="auto"/>
        <w:jc w:val="both"/>
        <w:rPr>
          <w:rFonts w:ascii="Arial Narrow" w:hAnsi="Arial Narrow" w:cs="Arial"/>
          <w:sz w:val="20"/>
          <w:szCs w:val="20"/>
        </w:rPr>
      </w:pPr>
      <w:r>
        <w:rPr>
          <w:rFonts w:ascii="Arial Narrow" w:hAnsi="Arial Narrow" w:cs="Arial"/>
          <w:sz w:val="20"/>
          <w:szCs w:val="20"/>
        </w:rPr>
        <w:t>Link</w:t>
      </w:r>
      <w:r w:rsidR="00880F1C" w:rsidRPr="008C0A2D">
        <w:rPr>
          <w:rFonts w:ascii="Arial Narrow" w:hAnsi="Arial Narrow" w:cs="Arial"/>
          <w:sz w:val="20"/>
          <w:szCs w:val="20"/>
        </w:rPr>
        <w:t xml:space="preserve">: </w:t>
      </w:r>
      <w:hyperlink r:id="rId13" w:history="1">
        <w:r w:rsidRPr="00DE3C93">
          <w:rPr>
            <w:rStyle w:val="Hipervnculo"/>
            <w:rFonts w:ascii="Arial Narrow" w:hAnsi="Arial Narrow" w:cs="Arial"/>
            <w:sz w:val="20"/>
            <w:szCs w:val="20"/>
          </w:rPr>
          <w:t>https://ieeg.mx/directorio-2/</w:t>
        </w:r>
      </w:hyperlink>
    </w:p>
    <w:p w14:paraId="2D520039" w14:textId="77777777" w:rsidR="00764075" w:rsidRPr="008C0A2D" w:rsidRDefault="00764075" w:rsidP="00880F1C">
      <w:pPr>
        <w:spacing w:after="0" w:line="240" w:lineRule="auto"/>
        <w:jc w:val="both"/>
        <w:rPr>
          <w:rFonts w:cs="Calibri"/>
          <w:b/>
        </w:rPr>
      </w:pPr>
    </w:p>
    <w:p w14:paraId="4EBE46AD" w14:textId="77777777" w:rsidR="00880F1C" w:rsidRPr="008C0A2D" w:rsidRDefault="00880F1C" w:rsidP="00880F1C">
      <w:pPr>
        <w:spacing w:after="0" w:line="240" w:lineRule="auto"/>
        <w:jc w:val="both"/>
        <w:rPr>
          <w:rFonts w:cs="Calibri"/>
          <w:b/>
        </w:rPr>
      </w:pPr>
    </w:p>
    <w:p w14:paraId="74AA2CD1" w14:textId="77777777" w:rsidR="00880F1C" w:rsidRPr="008C0A2D" w:rsidRDefault="00880F1C" w:rsidP="00880F1C">
      <w:pPr>
        <w:spacing w:after="0" w:line="240" w:lineRule="auto"/>
        <w:jc w:val="both"/>
        <w:rPr>
          <w:rFonts w:cs="Calibri"/>
          <w:b/>
        </w:rPr>
      </w:pPr>
    </w:p>
    <w:p w14:paraId="3F864330" w14:textId="77777777" w:rsidR="00880F1C" w:rsidRPr="008C0A2D" w:rsidRDefault="00880F1C" w:rsidP="00880F1C">
      <w:pPr>
        <w:spacing w:after="0" w:line="240" w:lineRule="auto"/>
        <w:jc w:val="both"/>
        <w:rPr>
          <w:rFonts w:cs="Calibri"/>
          <w:b/>
        </w:rPr>
      </w:pPr>
    </w:p>
    <w:p w14:paraId="1CCC6C9E" w14:textId="77777777" w:rsidR="00880F1C" w:rsidRPr="008C0A2D" w:rsidRDefault="00880F1C" w:rsidP="00880F1C">
      <w:pPr>
        <w:spacing w:after="0" w:line="240" w:lineRule="auto"/>
        <w:jc w:val="both"/>
        <w:rPr>
          <w:rFonts w:cs="Calibri"/>
          <w:b/>
        </w:rPr>
      </w:pPr>
    </w:p>
    <w:p w14:paraId="696FBD9E" w14:textId="53E865C4" w:rsidR="00880F1C" w:rsidRDefault="00880F1C" w:rsidP="00880F1C">
      <w:pPr>
        <w:spacing w:after="0" w:line="240" w:lineRule="auto"/>
        <w:jc w:val="both"/>
        <w:rPr>
          <w:rFonts w:cs="Calibri"/>
          <w:b/>
        </w:rPr>
      </w:pPr>
    </w:p>
    <w:p w14:paraId="1594E5B3" w14:textId="0C3CC12C" w:rsidR="00B331FF" w:rsidRDefault="00B331FF" w:rsidP="00880F1C">
      <w:pPr>
        <w:spacing w:after="0" w:line="240" w:lineRule="auto"/>
        <w:jc w:val="both"/>
        <w:rPr>
          <w:rFonts w:cs="Calibri"/>
          <w:b/>
        </w:rPr>
      </w:pPr>
    </w:p>
    <w:p w14:paraId="11CB70DB" w14:textId="44B53A0E" w:rsidR="00B331FF" w:rsidRDefault="00B331FF" w:rsidP="00880F1C">
      <w:pPr>
        <w:spacing w:after="0" w:line="240" w:lineRule="auto"/>
        <w:jc w:val="both"/>
        <w:rPr>
          <w:rFonts w:cs="Calibri"/>
          <w:b/>
        </w:rPr>
      </w:pPr>
    </w:p>
    <w:p w14:paraId="77810346" w14:textId="77777777" w:rsidR="00B331FF" w:rsidRPr="008C0A2D" w:rsidRDefault="00B331FF" w:rsidP="00880F1C">
      <w:pPr>
        <w:spacing w:after="0" w:line="240" w:lineRule="auto"/>
        <w:jc w:val="both"/>
        <w:rPr>
          <w:rFonts w:cs="Calibri"/>
          <w:b/>
        </w:rPr>
      </w:pPr>
    </w:p>
    <w:p w14:paraId="7ECA3687" w14:textId="77777777" w:rsidR="00880F1C" w:rsidRPr="008C0A2D" w:rsidRDefault="00880F1C" w:rsidP="00880F1C">
      <w:pPr>
        <w:spacing w:after="0" w:line="240" w:lineRule="auto"/>
        <w:jc w:val="both"/>
        <w:rPr>
          <w:rFonts w:cs="Calibri"/>
          <w:b/>
        </w:rPr>
      </w:pPr>
    </w:p>
    <w:p w14:paraId="2E9ADAF8" w14:textId="408C0CE5" w:rsidR="00880F1C" w:rsidRDefault="00880F1C" w:rsidP="00880F1C">
      <w:pPr>
        <w:spacing w:after="0" w:line="240" w:lineRule="auto"/>
        <w:jc w:val="both"/>
        <w:rPr>
          <w:rFonts w:cs="Calibri"/>
          <w:b/>
        </w:rPr>
      </w:pPr>
    </w:p>
    <w:p w14:paraId="57D775F2" w14:textId="2A81B09A" w:rsidR="00764075" w:rsidRDefault="00764075" w:rsidP="00880F1C">
      <w:pPr>
        <w:spacing w:after="0" w:line="240" w:lineRule="auto"/>
        <w:jc w:val="both"/>
        <w:rPr>
          <w:rFonts w:cs="Calibri"/>
          <w:b/>
        </w:rPr>
      </w:pPr>
    </w:p>
    <w:p w14:paraId="4C60D3F8" w14:textId="39B0AAA2" w:rsidR="00764075" w:rsidRDefault="00764075" w:rsidP="00880F1C">
      <w:pPr>
        <w:spacing w:after="0" w:line="240" w:lineRule="auto"/>
        <w:jc w:val="both"/>
        <w:rPr>
          <w:rFonts w:cs="Calibri"/>
          <w:b/>
        </w:rPr>
      </w:pPr>
    </w:p>
    <w:p w14:paraId="498EE503" w14:textId="77777777" w:rsidR="00764075" w:rsidRPr="008C0A2D" w:rsidRDefault="00764075" w:rsidP="00880F1C">
      <w:pPr>
        <w:spacing w:after="0" w:line="240" w:lineRule="auto"/>
        <w:jc w:val="both"/>
        <w:rPr>
          <w:rFonts w:cs="Calibri"/>
          <w:b/>
        </w:rPr>
      </w:pPr>
    </w:p>
    <w:p w14:paraId="05CF34BD" w14:textId="77777777" w:rsidR="00880F1C" w:rsidRPr="008C0A2D" w:rsidRDefault="00880F1C" w:rsidP="00880F1C">
      <w:pPr>
        <w:spacing w:after="0" w:line="240" w:lineRule="auto"/>
        <w:jc w:val="both"/>
        <w:rPr>
          <w:rFonts w:cs="Calibri"/>
          <w:b/>
        </w:rPr>
      </w:pPr>
    </w:p>
    <w:p w14:paraId="7926E59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lastRenderedPageBreak/>
        <w:t>g)</w:t>
      </w:r>
      <w:r w:rsidRPr="008C0A2D">
        <w:rPr>
          <w:rFonts w:ascii="Arial Narrow" w:hAnsi="Arial Narrow" w:cs="Arial"/>
          <w:sz w:val="20"/>
          <w:szCs w:val="20"/>
        </w:rPr>
        <w:t xml:space="preserve"> Fideicomisos, mandatos y análogos de los cuales es fideicomitente o fiduciario.</w:t>
      </w:r>
    </w:p>
    <w:p w14:paraId="6441BA46" w14:textId="77777777" w:rsidR="00880F1C" w:rsidRPr="008C0A2D" w:rsidRDefault="00880F1C" w:rsidP="00880F1C">
      <w:pPr>
        <w:spacing w:after="0" w:line="240" w:lineRule="exact"/>
        <w:jc w:val="both"/>
        <w:rPr>
          <w:rFonts w:ascii="Arial Narrow" w:hAnsi="Arial Narrow" w:cs="Arial"/>
          <w:sz w:val="20"/>
          <w:szCs w:val="20"/>
        </w:rPr>
      </w:pPr>
      <w:bookmarkStart w:id="0" w:name="_Hlk480996358"/>
      <w:r w:rsidRPr="008C0A2D">
        <w:rPr>
          <w:rFonts w:ascii="Arial Narrow" w:hAnsi="Arial Narrow" w:cs="Calibri"/>
          <w:b/>
          <w:sz w:val="20"/>
          <w:szCs w:val="20"/>
        </w:rPr>
        <w:t>Esta nota no le aplica al ente público</w:t>
      </w:r>
    </w:p>
    <w:bookmarkEnd w:id="0"/>
    <w:p w14:paraId="4893FE19" w14:textId="77777777" w:rsidR="00880F1C" w:rsidRPr="008C0A2D" w:rsidRDefault="00880F1C" w:rsidP="00880F1C">
      <w:pPr>
        <w:spacing w:after="0" w:line="240" w:lineRule="exact"/>
        <w:jc w:val="both"/>
        <w:rPr>
          <w:rFonts w:ascii="Arial Narrow" w:hAnsi="Arial Narrow" w:cs="Arial"/>
          <w:b/>
          <w:sz w:val="20"/>
          <w:szCs w:val="20"/>
        </w:rPr>
      </w:pPr>
    </w:p>
    <w:p w14:paraId="7087E9C8" w14:textId="77777777" w:rsidR="00880F1C" w:rsidRPr="008C0A2D" w:rsidRDefault="00880F1C" w:rsidP="00880F1C">
      <w:pPr>
        <w:spacing w:after="0" w:line="240" w:lineRule="exact"/>
        <w:jc w:val="both"/>
        <w:rPr>
          <w:rFonts w:ascii="Arial Narrow" w:hAnsi="Arial Narrow" w:cs="Arial"/>
          <w:b/>
          <w:sz w:val="20"/>
          <w:szCs w:val="20"/>
        </w:rPr>
      </w:pPr>
    </w:p>
    <w:p w14:paraId="2920A2A8"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5. Bases de Preparación de los Estados Financieros:</w:t>
      </w:r>
    </w:p>
    <w:p w14:paraId="640CCA64"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59BD437B" w14:textId="77777777" w:rsidR="00880F1C" w:rsidRPr="008C0A2D" w:rsidRDefault="00880F1C" w:rsidP="00880F1C">
      <w:pPr>
        <w:spacing w:after="0" w:line="240" w:lineRule="exact"/>
        <w:jc w:val="both"/>
        <w:rPr>
          <w:rFonts w:ascii="Arial Narrow" w:hAnsi="Arial Narrow" w:cs="Arial"/>
          <w:sz w:val="20"/>
          <w:szCs w:val="20"/>
        </w:rPr>
      </w:pPr>
    </w:p>
    <w:p w14:paraId="4CD2A7C4"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Si se ha observado la normatividad emitida por el CONAC y las disposiciones legales aplicables.</w:t>
      </w:r>
    </w:p>
    <w:p w14:paraId="487ADB20"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A partir del 1° de enero de 2011 se iniciaron los registros contables en apego a las disposiciones de la Ley General de Contabilidad Gubernamental, así como la generación de la información financiera. A partir de la entrada en vigor de la Ley de Disciplina Financiera de las Entidades Federativas y los Municipios, se han generado los informes correspondientes para dar cumplimiento en esta Ley.</w:t>
      </w:r>
    </w:p>
    <w:p w14:paraId="2C353B0F" w14:textId="77777777" w:rsidR="00880F1C" w:rsidRPr="008C0A2D" w:rsidRDefault="00880F1C" w:rsidP="00880F1C">
      <w:pPr>
        <w:spacing w:after="0" w:line="240" w:lineRule="auto"/>
        <w:jc w:val="both"/>
        <w:rPr>
          <w:rFonts w:ascii="Arial Narrow" w:hAnsi="Arial Narrow" w:cs="Calibri"/>
          <w:sz w:val="20"/>
          <w:szCs w:val="20"/>
        </w:rPr>
      </w:pPr>
    </w:p>
    <w:p w14:paraId="11277F86" w14:textId="77777777" w:rsidR="00880F1C" w:rsidRPr="008C0A2D" w:rsidRDefault="00880F1C" w:rsidP="00880F1C">
      <w:pPr>
        <w:spacing w:after="0" w:line="240" w:lineRule="auto"/>
        <w:jc w:val="both"/>
        <w:rPr>
          <w:rFonts w:ascii="Arial Narrow" w:hAnsi="Arial Narrow" w:cs="Arial"/>
          <w:sz w:val="20"/>
          <w:szCs w:val="20"/>
        </w:rPr>
      </w:pPr>
      <w:bookmarkStart w:id="1" w:name="_Hlk480995325"/>
      <w:r w:rsidRPr="008C0A2D">
        <w:rPr>
          <w:rFonts w:ascii="Arial Narrow" w:hAnsi="Arial Narrow" w:cs="Arial"/>
          <w:b/>
          <w:sz w:val="20"/>
          <w:szCs w:val="20"/>
        </w:rPr>
        <w:t>b)</w:t>
      </w:r>
      <w:r w:rsidRPr="008C0A2D">
        <w:rPr>
          <w:rFonts w:ascii="Arial Narrow" w:hAnsi="Arial Narrow" w:cs="Arial"/>
          <w:sz w:val="20"/>
          <w:szCs w:val="20"/>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bookmarkEnd w:id="1"/>
    <w:p w14:paraId="3353FFB0" w14:textId="77777777" w:rsidR="00880F1C" w:rsidRPr="008C0A2D" w:rsidRDefault="00880F1C" w:rsidP="00880F1C">
      <w:pPr>
        <w:spacing w:after="0" w:line="240" w:lineRule="exact"/>
        <w:jc w:val="both"/>
        <w:rPr>
          <w:rFonts w:ascii="Arial Narrow" w:hAnsi="Arial Narrow" w:cs="Arial"/>
          <w:sz w:val="20"/>
          <w:szCs w:val="20"/>
        </w:rPr>
      </w:pPr>
    </w:p>
    <w:p w14:paraId="3884CBC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La contabilización de las transacciones se llevan a cabo considerando su valor a la fecha de realización y con base acumulativa, conforme a la Ley General de Contabilidad Gubernamental y los postulados básicos de la contabilidad gubernamental emitidos por el Consejo Nacional de Contabilidad Gubernamental (CONAC).</w:t>
      </w:r>
    </w:p>
    <w:p w14:paraId="598A0D52" w14:textId="77777777" w:rsidR="00880F1C" w:rsidRPr="008C0A2D" w:rsidRDefault="00880F1C" w:rsidP="00880F1C">
      <w:pPr>
        <w:spacing w:after="0" w:line="240" w:lineRule="auto"/>
        <w:jc w:val="both"/>
        <w:rPr>
          <w:rFonts w:ascii="Arial Narrow" w:hAnsi="Arial Narrow" w:cs="Calibri"/>
          <w:sz w:val="20"/>
          <w:szCs w:val="20"/>
        </w:rPr>
      </w:pPr>
    </w:p>
    <w:p w14:paraId="202DEAF1"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Postulados básicos.</w:t>
      </w:r>
    </w:p>
    <w:p w14:paraId="1C9AE576" w14:textId="77777777" w:rsidR="00880F1C" w:rsidRPr="008C0A2D" w:rsidRDefault="00880F1C" w:rsidP="00880F1C">
      <w:pPr>
        <w:spacing w:after="0" w:line="240" w:lineRule="exact"/>
        <w:jc w:val="both"/>
        <w:rPr>
          <w:rFonts w:ascii="Arial Narrow" w:hAnsi="Arial Narrow" w:cs="Arial"/>
          <w:sz w:val="20"/>
          <w:szCs w:val="20"/>
        </w:rPr>
      </w:pPr>
    </w:p>
    <w:p w14:paraId="7D61A56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aplican los postulados básicos de conformidad con el acuerdo por el que se emiten los postulados básicos de contabilidad gubernamental.</w:t>
      </w:r>
    </w:p>
    <w:p w14:paraId="2613297A" w14:textId="77777777" w:rsidR="00880F1C" w:rsidRPr="008C0A2D" w:rsidRDefault="00880F1C" w:rsidP="00880F1C">
      <w:pPr>
        <w:spacing w:after="0" w:line="240" w:lineRule="auto"/>
        <w:jc w:val="both"/>
        <w:rPr>
          <w:rFonts w:ascii="Arial Narrow" w:hAnsi="Arial Narrow" w:cs="Calibri"/>
          <w:sz w:val="20"/>
          <w:szCs w:val="20"/>
        </w:rPr>
      </w:pPr>
    </w:p>
    <w:p w14:paraId="482AE4B1" w14:textId="77777777" w:rsidR="00880F1C" w:rsidRPr="008C0A2D" w:rsidRDefault="00880F1C" w:rsidP="00880F1C">
      <w:pPr>
        <w:spacing w:after="0" w:line="240" w:lineRule="auto"/>
        <w:jc w:val="both"/>
        <w:rPr>
          <w:rFonts w:ascii="Arial Narrow" w:hAnsi="Arial Narrow" w:cs="Calibri"/>
          <w:sz w:val="20"/>
          <w:szCs w:val="20"/>
        </w:rPr>
      </w:pPr>
    </w:p>
    <w:p w14:paraId="30943D0F"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41F72B5C" w14:textId="77777777" w:rsidR="00880F1C" w:rsidRPr="008C0A2D" w:rsidRDefault="00880F1C" w:rsidP="00880F1C">
      <w:pPr>
        <w:spacing w:after="0" w:line="240" w:lineRule="auto"/>
        <w:jc w:val="both"/>
        <w:rPr>
          <w:rFonts w:ascii="Arial Narrow" w:hAnsi="Arial Narrow" w:cs="Arial"/>
          <w:sz w:val="20"/>
          <w:szCs w:val="20"/>
        </w:rPr>
      </w:pPr>
    </w:p>
    <w:p w14:paraId="42474A21"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Como normatividad supletoria en materia administrativa se considera la Ley para el ejercicio y control de los recursos públicos para el Estado y los Municipios de Guanajuato, Ley del Presupuesto General de Egresos del Estado de Guanajuato para el ejercicio fiscal de 2017, la Ley de Contrataciones Públicas para el Estado de Guanajuato, entre otras.</w:t>
      </w:r>
    </w:p>
    <w:p w14:paraId="43F3A86F" w14:textId="77777777" w:rsidR="00880F1C" w:rsidRPr="008C0A2D" w:rsidRDefault="00880F1C" w:rsidP="00880F1C">
      <w:pPr>
        <w:spacing w:after="0" w:line="240" w:lineRule="auto"/>
        <w:jc w:val="both"/>
        <w:rPr>
          <w:rFonts w:ascii="Arial Narrow" w:hAnsi="Arial Narrow" w:cs="Calibri"/>
          <w:b/>
          <w:sz w:val="20"/>
          <w:szCs w:val="20"/>
        </w:rPr>
      </w:pPr>
    </w:p>
    <w:p w14:paraId="759178FF"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Para las entidades que por primera vez estén implementando la base devengado de acuerdo a la Ley de Contabilidad, deberán:</w:t>
      </w:r>
    </w:p>
    <w:p w14:paraId="68DBC432" w14:textId="77777777" w:rsidR="00880F1C" w:rsidRPr="008C0A2D" w:rsidRDefault="00880F1C" w:rsidP="00880F1C">
      <w:pPr>
        <w:spacing w:after="0" w:line="240" w:lineRule="auto"/>
        <w:jc w:val="both"/>
        <w:rPr>
          <w:rFonts w:ascii="Arial Narrow" w:hAnsi="Arial Narrow" w:cs="Arial"/>
          <w:sz w:val="20"/>
          <w:szCs w:val="20"/>
        </w:rPr>
      </w:pPr>
    </w:p>
    <w:p w14:paraId="5202B237"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*Revelar las nuevas políticas de reconocimiento:</w:t>
      </w:r>
    </w:p>
    <w:p w14:paraId="4C7BD21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5372AE6" w14:textId="77777777" w:rsidR="00880F1C" w:rsidRPr="008C0A2D" w:rsidRDefault="00880F1C" w:rsidP="00880F1C">
      <w:pPr>
        <w:spacing w:after="0" w:line="240" w:lineRule="auto"/>
        <w:jc w:val="both"/>
        <w:rPr>
          <w:rFonts w:ascii="Arial Narrow" w:hAnsi="Arial Narrow" w:cs="Arial"/>
          <w:sz w:val="20"/>
          <w:szCs w:val="20"/>
        </w:rPr>
      </w:pPr>
    </w:p>
    <w:p w14:paraId="70758707"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*Plan de implementación:</w:t>
      </w:r>
    </w:p>
    <w:p w14:paraId="67CA10B3" w14:textId="77777777" w:rsidR="00880F1C" w:rsidRPr="008C0A2D" w:rsidRDefault="00880F1C" w:rsidP="00880F1C">
      <w:pPr>
        <w:spacing w:after="0" w:line="240" w:lineRule="exact"/>
        <w:jc w:val="both"/>
        <w:rPr>
          <w:rFonts w:ascii="Arial Narrow" w:hAnsi="Arial Narrow" w:cs="Arial"/>
          <w:sz w:val="20"/>
          <w:szCs w:val="20"/>
        </w:rPr>
      </w:pPr>
      <w:bookmarkStart w:id="2" w:name="_Hlk480996970"/>
      <w:r w:rsidRPr="008C0A2D">
        <w:rPr>
          <w:rFonts w:ascii="Arial Narrow" w:hAnsi="Arial Narrow" w:cs="Calibri"/>
          <w:b/>
          <w:sz w:val="20"/>
          <w:szCs w:val="20"/>
        </w:rPr>
        <w:t>Esta nota no le aplica al ente público</w:t>
      </w:r>
    </w:p>
    <w:bookmarkEnd w:id="2"/>
    <w:p w14:paraId="4DEF984A" w14:textId="77777777" w:rsidR="00880F1C" w:rsidRPr="008C0A2D" w:rsidRDefault="00880F1C" w:rsidP="00880F1C">
      <w:pPr>
        <w:spacing w:after="0" w:line="240" w:lineRule="auto"/>
        <w:jc w:val="both"/>
        <w:rPr>
          <w:rFonts w:ascii="Arial Narrow" w:hAnsi="Arial Narrow" w:cs="Arial"/>
          <w:sz w:val="20"/>
          <w:szCs w:val="20"/>
        </w:rPr>
      </w:pPr>
    </w:p>
    <w:p w14:paraId="7BB232FC"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*Revelar los cambios en las políticas, la clasificación y medición de las mismas, así como su impacto en la información financiera:</w:t>
      </w:r>
    </w:p>
    <w:p w14:paraId="7E5AE12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F7CC638" w14:textId="77777777" w:rsidR="00880F1C" w:rsidRPr="008C0A2D" w:rsidRDefault="00880F1C" w:rsidP="00880F1C">
      <w:pPr>
        <w:spacing w:after="0" w:line="240" w:lineRule="auto"/>
        <w:jc w:val="both"/>
        <w:rPr>
          <w:rFonts w:ascii="Arial Narrow" w:hAnsi="Arial Narrow" w:cs="Calibri"/>
          <w:sz w:val="20"/>
          <w:szCs w:val="20"/>
        </w:rPr>
      </w:pPr>
    </w:p>
    <w:p w14:paraId="70CD5AEF" w14:textId="77777777" w:rsidR="00880F1C" w:rsidRPr="008C0A2D" w:rsidRDefault="00880F1C" w:rsidP="00880F1C">
      <w:pPr>
        <w:spacing w:after="0" w:line="240" w:lineRule="auto"/>
        <w:jc w:val="both"/>
        <w:rPr>
          <w:rFonts w:ascii="Arial Narrow" w:hAnsi="Arial Narrow" w:cs="Calibri"/>
          <w:sz w:val="20"/>
          <w:szCs w:val="20"/>
        </w:rPr>
      </w:pPr>
    </w:p>
    <w:p w14:paraId="11268820"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6. Políticas de Contabilidad Significativas:</w:t>
      </w:r>
    </w:p>
    <w:p w14:paraId="0E40EC80" w14:textId="77777777" w:rsidR="00880F1C" w:rsidRPr="008C0A2D" w:rsidRDefault="00880F1C" w:rsidP="00880F1C">
      <w:pPr>
        <w:spacing w:after="0" w:line="240" w:lineRule="exact"/>
        <w:jc w:val="both"/>
        <w:rPr>
          <w:rFonts w:ascii="Arial Narrow" w:hAnsi="Arial Narrow" w:cs="Arial"/>
          <w:b/>
          <w:sz w:val="20"/>
          <w:szCs w:val="20"/>
        </w:rPr>
      </w:pPr>
    </w:p>
    <w:p w14:paraId="6BBD98CE"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639BFA6A" w14:textId="77777777" w:rsidR="00880F1C" w:rsidRPr="008C0A2D" w:rsidRDefault="00880F1C" w:rsidP="00880F1C">
      <w:pPr>
        <w:spacing w:after="0" w:line="240" w:lineRule="auto"/>
        <w:jc w:val="both"/>
        <w:rPr>
          <w:rFonts w:ascii="Arial Narrow" w:hAnsi="Arial Narrow" w:cs="Arial"/>
          <w:sz w:val="20"/>
          <w:szCs w:val="20"/>
        </w:rPr>
      </w:pPr>
    </w:p>
    <w:p w14:paraId="71E29DC8"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Actualización: se informará del método utilizado para la actualización del valor de los activos, pasivos y Hacienda Pública/ Patrimonio y las razones de dicha elección. Así como informar de la desconexión o reconexión inflacionaria:</w:t>
      </w:r>
    </w:p>
    <w:p w14:paraId="1DCBE35D" w14:textId="77777777" w:rsidR="00880F1C" w:rsidRPr="008C0A2D" w:rsidRDefault="00880F1C" w:rsidP="00880F1C">
      <w:pPr>
        <w:spacing w:after="0" w:line="240" w:lineRule="auto"/>
        <w:jc w:val="both"/>
        <w:rPr>
          <w:rFonts w:ascii="Arial Narrow" w:hAnsi="Arial Narrow" w:cs="Arial"/>
          <w:sz w:val="20"/>
          <w:szCs w:val="20"/>
        </w:rPr>
      </w:pPr>
    </w:p>
    <w:p w14:paraId="31DE3B3B"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lastRenderedPageBreak/>
        <w:t xml:space="preserve">El registro de activos, pasivos y hacienda pública que actualmente se refleja en los estados financieros se realiza en base al costo histórico, de conformidad con el postulado básico de valuación. </w:t>
      </w:r>
    </w:p>
    <w:p w14:paraId="3593151C" w14:textId="77777777" w:rsidR="00880F1C" w:rsidRPr="008C0A2D" w:rsidRDefault="00880F1C" w:rsidP="00880F1C">
      <w:pPr>
        <w:spacing w:after="0" w:line="240" w:lineRule="exact"/>
        <w:jc w:val="both"/>
        <w:rPr>
          <w:rFonts w:ascii="Arial Narrow" w:hAnsi="Arial Narrow" w:cs="Arial"/>
          <w:b/>
          <w:sz w:val="20"/>
          <w:szCs w:val="20"/>
        </w:rPr>
      </w:pPr>
    </w:p>
    <w:p w14:paraId="669DA25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cuanto al reconocimiento de los efectos de la inflación, en la actualidad existe una desconexión de la contabilidad inflacionaria en virtud de que el entorno económico actual es no inflacionario.</w:t>
      </w:r>
    </w:p>
    <w:p w14:paraId="486AF020" w14:textId="77777777" w:rsidR="00880F1C" w:rsidRPr="008C0A2D" w:rsidRDefault="00880F1C" w:rsidP="00880F1C">
      <w:pPr>
        <w:spacing w:after="0" w:line="240" w:lineRule="exact"/>
        <w:jc w:val="both"/>
        <w:rPr>
          <w:rFonts w:ascii="Arial Narrow" w:hAnsi="Arial Narrow" w:cs="Arial"/>
          <w:sz w:val="20"/>
          <w:szCs w:val="20"/>
        </w:rPr>
      </w:pPr>
    </w:p>
    <w:p w14:paraId="498ADEC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Informar sobre la realización de operaciones en el extranjero y de sus efectos en la información financiera gubernamental:</w:t>
      </w:r>
    </w:p>
    <w:p w14:paraId="6F9077DD" w14:textId="77777777" w:rsidR="00880F1C" w:rsidRPr="008C0A2D" w:rsidRDefault="00880F1C" w:rsidP="00880F1C">
      <w:pPr>
        <w:spacing w:after="0" w:line="240" w:lineRule="exact"/>
        <w:jc w:val="both"/>
        <w:rPr>
          <w:rFonts w:ascii="Arial Narrow" w:hAnsi="Arial Narrow" w:cs="Arial"/>
          <w:sz w:val="20"/>
          <w:szCs w:val="20"/>
        </w:rPr>
      </w:pPr>
    </w:p>
    <w:p w14:paraId="14534CC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caso de realizar operaciones con proveedores en el extranjero, su registro contable se realiza en moneda nacional considerando el tipo de cambio publicado por el Banco de México.</w:t>
      </w:r>
    </w:p>
    <w:p w14:paraId="5AB43824" w14:textId="77777777" w:rsidR="00880F1C" w:rsidRPr="008C0A2D" w:rsidRDefault="00880F1C" w:rsidP="00880F1C">
      <w:pPr>
        <w:spacing w:after="0" w:line="240" w:lineRule="exact"/>
        <w:jc w:val="both"/>
        <w:rPr>
          <w:rFonts w:ascii="Arial Narrow" w:hAnsi="Arial Narrow" w:cs="Arial"/>
          <w:sz w:val="20"/>
          <w:szCs w:val="20"/>
        </w:rPr>
      </w:pPr>
    </w:p>
    <w:p w14:paraId="4EDAA77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Método de valuación de la inversión en acciones de Compañías subsidiarias no consolidadas y asociadas:</w:t>
      </w:r>
    </w:p>
    <w:p w14:paraId="3557CA7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3FEF43A" w14:textId="77777777" w:rsidR="00880F1C" w:rsidRPr="008C0A2D" w:rsidRDefault="00880F1C" w:rsidP="00880F1C">
      <w:pPr>
        <w:spacing w:after="0" w:line="240" w:lineRule="exact"/>
        <w:jc w:val="both"/>
        <w:rPr>
          <w:rFonts w:ascii="Arial Narrow" w:hAnsi="Arial Narrow" w:cs="Arial"/>
          <w:sz w:val="20"/>
          <w:szCs w:val="20"/>
        </w:rPr>
      </w:pPr>
    </w:p>
    <w:p w14:paraId="66EC030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Sistema y método de valuación de inventarios y costo de lo vendido:</w:t>
      </w:r>
    </w:p>
    <w:p w14:paraId="073BFE1B" w14:textId="77777777" w:rsidR="00880F1C" w:rsidRPr="008C0A2D" w:rsidRDefault="00880F1C" w:rsidP="00880F1C">
      <w:pPr>
        <w:spacing w:after="0" w:line="240" w:lineRule="exact"/>
        <w:jc w:val="both"/>
        <w:rPr>
          <w:rFonts w:ascii="Arial Narrow" w:hAnsi="Arial Narrow" w:cs="Arial"/>
          <w:sz w:val="20"/>
          <w:szCs w:val="20"/>
        </w:rPr>
      </w:pPr>
    </w:p>
    <w:p w14:paraId="239002E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método de registro de los inventarios de consumibles se realiza en base a costos promedios.</w:t>
      </w:r>
    </w:p>
    <w:p w14:paraId="66CB9754" w14:textId="77777777" w:rsidR="00880F1C" w:rsidRPr="008C0A2D" w:rsidRDefault="00880F1C" w:rsidP="00880F1C">
      <w:pPr>
        <w:spacing w:after="0" w:line="240" w:lineRule="exact"/>
        <w:jc w:val="both"/>
        <w:rPr>
          <w:rFonts w:ascii="Arial Narrow" w:hAnsi="Arial Narrow" w:cs="Arial"/>
          <w:sz w:val="20"/>
          <w:szCs w:val="20"/>
        </w:rPr>
      </w:pPr>
    </w:p>
    <w:p w14:paraId="2B795BB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Beneficios a empleados: revelar el cálculo de la reserva actuarial, valor presente de los ingresos esperados comparado con el valor presente de la estimación de gastos tanto de los beneficiarios actuales como futuros:</w:t>
      </w:r>
    </w:p>
    <w:p w14:paraId="69BF5789" w14:textId="77777777" w:rsidR="00880F1C" w:rsidRPr="008C0A2D" w:rsidRDefault="00880F1C" w:rsidP="00880F1C">
      <w:pPr>
        <w:spacing w:after="0" w:line="240" w:lineRule="exact"/>
        <w:jc w:val="both"/>
        <w:rPr>
          <w:rFonts w:ascii="Arial Narrow" w:hAnsi="Arial Narrow" w:cs="Arial"/>
          <w:sz w:val="20"/>
          <w:szCs w:val="20"/>
        </w:rPr>
      </w:pPr>
    </w:p>
    <w:p w14:paraId="6C8E127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Los beneficios a los empleados son los autorizados en los tabuladores de sueldos y salarios así como la normativa aplicable.</w:t>
      </w:r>
    </w:p>
    <w:p w14:paraId="21681895" w14:textId="77777777" w:rsidR="00880F1C" w:rsidRPr="008C0A2D" w:rsidRDefault="00880F1C" w:rsidP="00880F1C">
      <w:pPr>
        <w:spacing w:after="0" w:line="240" w:lineRule="auto"/>
        <w:jc w:val="both"/>
        <w:rPr>
          <w:rFonts w:ascii="Arial Narrow" w:hAnsi="Arial Narrow" w:cs="Calibri"/>
          <w:sz w:val="20"/>
          <w:szCs w:val="20"/>
        </w:rPr>
      </w:pPr>
    </w:p>
    <w:p w14:paraId="3183D79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Provisiones:</w:t>
      </w:r>
      <w:r w:rsidRPr="008C0A2D">
        <w:t xml:space="preserve"> </w:t>
      </w:r>
      <w:r w:rsidRPr="008C0A2D">
        <w:rPr>
          <w:rFonts w:ascii="Arial Narrow" w:hAnsi="Arial Narrow" w:cs="Arial"/>
          <w:sz w:val="20"/>
          <w:szCs w:val="20"/>
        </w:rPr>
        <w:t xml:space="preserve">objetivo de su creación, monto y plazo: </w:t>
      </w:r>
    </w:p>
    <w:p w14:paraId="29F24599" w14:textId="77777777" w:rsidR="00880F1C" w:rsidRPr="008C0A2D" w:rsidRDefault="00880F1C" w:rsidP="00880F1C">
      <w:pPr>
        <w:spacing w:after="0" w:line="240" w:lineRule="exact"/>
        <w:jc w:val="both"/>
        <w:rPr>
          <w:rFonts w:ascii="Arial Narrow" w:hAnsi="Arial Narrow" w:cs="Arial"/>
          <w:sz w:val="20"/>
          <w:szCs w:val="20"/>
        </w:rPr>
      </w:pPr>
    </w:p>
    <w:p w14:paraId="4E64C99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Actualmente se está considerando una provisión para afrontar compromisos devengados, originados por las relaciones laborales del personal con el Instituto, cuyo monto se incrementa con los recursos que, previa autorización del órgano de gobierno, se designen hasta alcanzar la cifra que se requiera para afrontar dichos compromisos.</w:t>
      </w:r>
    </w:p>
    <w:p w14:paraId="0B965284" w14:textId="77777777" w:rsidR="00880F1C" w:rsidRPr="008C0A2D" w:rsidRDefault="00880F1C" w:rsidP="00880F1C">
      <w:pPr>
        <w:spacing w:after="0" w:line="240" w:lineRule="auto"/>
        <w:jc w:val="both"/>
        <w:rPr>
          <w:rFonts w:ascii="Arial Narrow" w:hAnsi="Arial Narrow" w:cs="Calibri"/>
          <w:sz w:val="20"/>
          <w:szCs w:val="20"/>
        </w:rPr>
      </w:pPr>
    </w:p>
    <w:p w14:paraId="20E84F5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Reservas: objetivo de su creación, monto y plazo:</w:t>
      </w:r>
    </w:p>
    <w:p w14:paraId="0B37CD9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6D5DFCE" w14:textId="77777777" w:rsidR="00880F1C" w:rsidRPr="008C0A2D" w:rsidRDefault="00880F1C" w:rsidP="00880F1C">
      <w:pPr>
        <w:spacing w:after="0" w:line="240" w:lineRule="auto"/>
        <w:jc w:val="both"/>
        <w:rPr>
          <w:rFonts w:ascii="Arial Narrow" w:hAnsi="Arial Narrow" w:cs="Calibri"/>
          <w:sz w:val="20"/>
          <w:szCs w:val="20"/>
        </w:rPr>
      </w:pPr>
    </w:p>
    <w:p w14:paraId="05F7E18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Cambios en políticas contables y corrección de errores junto con la revelación de los efectos que se tendrá en la información financiera del ente público, ya sea retrospectivos o prospectivos:</w:t>
      </w:r>
    </w:p>
    <w:p w14:paraId="11934C3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DF837D" w14:textId="77777777" w:rsidR="00880F1C" w:rsidRPr="008C0A2D" w:rsidRDefault="00880F1C" w:rsidP="00880F1C">
      <w:pPr>
        <w:spacing w:after="0" w:line="240" w:lineRule="auto"/>
        <w:jc w:val="both"/>
        <w:rPr>
          <w:rFonts w:ascii="Arial Narrow" w:hAnsi="Arial Narrow" w:cs="Calibri"/>
          <w:sz w:val="20"/>
          <w:szCs w:val="20"/>
        </w:rPr>
      </w:pPr>
    </w:p>
    <w:p w14:paraId="4BC4446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i)</w:t>
      </w:r>
      <w:r w:rsidRPr="008C0A2D">
        <w:rPr>
          <w:rFonts w:ascii="Arial Narrow" w:hAnsi="Arial Narrow" w:cs="Arial"/>
          <w:sz w:val="20"/>
          <w:szCs w:val="20"/>
        </w:rPr>
        <w:t xml:space="preserve"> Reclasificaciones: Se deben revelar todos aquellos movimientos entre cuentas por efectos de cambios en los tipos de operaciones:</w:t>
      </w:r>
    </w:p>
    <w:p w14:paraId="437FFB4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FD7BBEB" w14:textId="77777777" w:rsidR="00880F1C" w:rsidRPr="008C0A2D" w:rsidRDefault="00880F1C" w:rsidP="00880F1C">
      <w:pPr>
        <w:spacing w:after="0" w:line="240" w:lineRule="auto"/>
        <w:jc w:val="both"/>
        <w:rPr>
          <w:rFonts w:ascii="Arial Narrow" w:hAnsi="Arial Narrow" w:cs="Calibri"/>
          <w:sz w:val="20"/>
          <w:szCs w:val="20"/>
        </w:rPr>
      </w:pPr>
    </w:p>
    <w:p w14:paraId="3250FA2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j)</w:t>
      </w:r>
      <w:r w:rsidRPr="008C0A2D">
        <w:rPr>
          <w:rFonts w:ascii="Arial Narrow" w:hAnsi="Arial Narrow" w:cs="Arial"/>
          <w:sz w:val="20"/>
          <w:szCs w:val="20"/>
        </w:rPr>
        <w:t xml:space="preserve"> Depuración y cancelación de saldos:</w:t>
      </w:r>
    </w:p>
    <w:p w14:paraId="679913C3" w14:textId="77777777" w:rsidR="00880F1C" w:rsidRPr="008C0A2D" w:rsidRDefault="00880F1C" w:rsidP="00880F1C">
      <w:pPr>
        <w:spacing w:after="0" w:line="240" w:lineRule="exact"/>
        <w:jc w:val="both"/>
        <w:rPr>
          <w:rFonts w:ascii="Arial Narrow" w:hAnsi="Arial Narrow" w:cs="Arial"/>
          <w:sz w:val="20"/>
          <w:szCs w:val="20"/>
        </w:rPr>
      </w:pPr>
    </w:p>
    <w:p w14:paraId="76981420"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sz w:val="20"/>
          <w:szCs w:val="20"/>
        </w:rPr>
        <w:t>Se procura realizar depuraciones constantes a las diferentes cuentas que integran la información financiera con el propósito de reflejar los saldos correctos de cada cuenta.</w:t>
      </w:r>
    </w:p>
    <w:p w14:paraId="43490C3B" w14:textId="77777777" w:rsidR="00880F1C" w:rsidRPr="008C0A2D" w:rsidRDefault="00880F1C" w:rsidP="00880F1C">
      <w:pPr>
        <w:spacing w:after="0" w:line="240" w:lineRule="auto"/>
        <w:jc w:val="both"/>
        <w:rPr>
          <w:rFonts w:ascii="Arial Narrow" w:hAnsi="Arial Narrow" w:cs="Calibri"/>
          <w:sz w:val="20"/>
          <w:szCs w:val="20"/>
        </w:rPr>
      </w:pPr>
    </w:p>
    <w:p w14:paraId="64670FF8" w14:textId="77777777" w:rsidR="00880F1C" w:rsidRPr="008C0A2D" w:rsidRDefault="00880F1C" w:rsidP="00880F1C">
      <w:pPr>
        <w:spacing w:after="0" w:line="240" w:lineRule="auto"/>
        <w:jc w:val="both"/>
        <w:rPr>
          <w:rFonts w:ascii="Arial Narrow" w:hAnsi="Arial Narrow" w:cs="Calibri"/>
          <w:sz w:val="20"/>
          <w:szCs w:val="20"/>
        </w:rPr>
      </w:pPr>
    </w:p>
    <w:p w14:paraId="60DC8372"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7. Posición en Moneda Extranjera y Protección por Riesgo Cambiario</w:t>
      </w:r>
    </w:p>
    <w:p w14:paraId="06AB8AE7" w14:textId="77777777" w:rsidR="00880F1C" w:rsidRPr="008C0A2D" w:rsidRDefault="00880F1C" w:rsidP="00880F1C">
      <w:pPr>
        <w:spacing w:after="0" w:line="240" w:lineRule="exact"/>
        <w:jc w:val="both"/>
        <w:rPr>
          <w:rFonts w:ascii="Arial Narrow" w:hAnsi="Arial Narrow" w:cs="Arial"/>
          <w:sz w:val="20"/>
          <w:szCs w:val="20"/>
        </w:rPr>
      </w:pPr>
    </w:p>
    <w:p w14:paraId="7DFC754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Activos en moneda extranjera:</w:t>
      </w:r>
    </w:p>
    <w:p w14:paraId="592B982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8780F83" w14:textId="77777777" w:rsidR="00880F1C" w:rsidRPr="008C0A2D" w:rsidRDefault="00880F1C" w:rsidP="00880F1C">
      <w:pPr>
        <w:spacing w:after="0" w:line="240" w:lineRule="exact"/>
        <w:jc w:val="both"/>
        <w:rPr>
          <w:rFonts w:ascii="Arial Narrow" w:hAnsi="Arial Narrow" w:cs="Arial"/>
          <w:sz w:val="20"/>
          <w:szCs w:val="20"/>
        </w:rPr>
      </w:pPr>
    </w:p>
    <w:p w14:paraId="30F8198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Pasivos en moneda extranjera:</w:t>
      </w:r>
    </w:p>
    <w:p w14:paraId="38F7996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DC58E1E" w14:textId="77777777" w:rsidR="00880F1C" w:rsidRPr="008C0A2D" w:rsidRDefault="00880F1C" w:rsidP="00880F1C">
      <w:pPr>
        <w:spacing w:after="0" w:line="240" w:lineRule="exact"/>
        <w:jc w:val="both"/>
        <w:rPr>
          <w:rFonts w:ascii="Arial Narrow" w:hAnsi="Arial Narrow" w:cs="Arial"/>
          <w:sz w:val="20"/>
          <w:szCs w:val="20"/>
        </w:rPr>
      </w:pPr>
    </w:p>
    <w:p w14:paraId="6EE9CC1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lastRenderedPageBreak/>
        <w:t xml:space="preserve">c) </w:t>
      </w:r>
      <w:r w:rsidRPr="008C0A2D">
        <w:rPr>
          <w:rFonts w:ascii="Arial Narrow" w:hAnsi="Arial Narrow" w:cs="Arial"/>
          <w:sz w:val="20"/>
          <w:szCs w:val="20"/>
        </w:rPr>
        <w:t>Posición en moneda extranjera:</w:t>
      </w:r>
    </w:p>
    <w:p w14:paraId="1A48961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DB26EC8" w14:textId="77777777" w:rsidR="00880F1C" w:rsidRPr="008C0A2D" w:rsidRDefault="00880F1C" w:rsidP="00880F1C">
      <w:pPr>
        <w:spacing w:after="0" w:line="240" w:lineRule="exact"/>
        <w:jc w:val="both"/>
        <w:rPr>
          <w:rFonts w:ascii="Arial Narrow" w:hAnsi="Arial Narrow" w:cs="Arial"/>
          <w:sz w:val="20"/>
          <w:szCs w:val="20"/>
        </w:rPr>
      </w:pPr>
    </w:p>
    <w:p w14:paraId="7150CF9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Tipo de cambio:</w:t>
      </w:r>
    </w:p>
    <w:p w14:paraId="443995A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02FC704" w14:textId="77777777" w:rsidR="00880F1C" w:rsidRPr="008C0A2D" w:rsidRDefault="00880F1C" w:rsidP="00880F1C">
      <w:pPr>
        <w:spacing w:after="0" w:line="240" w:lineRule="exact"/>
        <w:jc w:val="both"/>
        <w:rPr>
          <w:rFonts w:ascii="Arial Narrow" w:hAnsi="Arial Narrow" w:cs="Arial"/>
          <w:sz w:val="20"/>
          <w:szCs w:val="20"/>
        </w:rPr>
      </w:pPr>
    </w:p>
    <w:p w14:paraId="73F2D4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Equivalente en moneda nacional:</w:t>
      </w:r>
    </w:p>
    <w:p w14:paraId="45E20DE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C3B6974" w14:textId="77777777" w:rsidR="00880F1C" w:rsidRPr="008C0A2D" w:rsidRDefault="00880F1C" w:rsidP="00880F1C">
      <w:pPr>
        <w:spacing w:after="0" w:line="240" w:lineRule="exact"/>
        <w:jc w:val="both"/>
        <w:rPr>
          <w:rFonts w:ascii="Arial Narrow" w:hAnsi="Arial Narrow" w:cs="Arial"/>
          <w:sz w:val="20"/>
          <w:szCs w:val="20"/>
        </w:rPr>
      </w:pPr>
    </w:p>
    <w:p w14:paraId="5E492C2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Lo anterior por cada tipo de moneda extranjera que se encuentre en los rubros de activo y pasivo.</w:t>
      </w:r>
    </w:p>
    <w:p w14:paraId="382FCA0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informará sobre los métodos de protección de riesgo por variaciones en el tipo de cambio.</w:t>
      </w:r>
    </w:p>
    <w:p w14:paraId="1C666408" w14:textId="77777777" w:rsidR="00880F1C" w:rsidRPr="008C0A2D" w:rsidRDefault="00880F1C" w:rsidP="00880F1C">
      <w:pPr>
        <w:spacing w:after="0" w:line="240" w:lineRule="auto"/>
        <w:jc w:val="both"/>
        <w:rPr>
          <w:rFonts w:ascii="Arial Narrow" w:hAnsi="Arial Narrow" w:cs="Calibri"/>
          <w:sz w:val="20"/>
          <w:szCs w:val="20"/>
        </w:rPr>
      </w:pPr>
    </w:p>
    <w:p w14:paraId="1F18598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8. Reporte Analítico del Activo:</w:t>
      </w:r>
    </w:p>
    <w:p w14:paraId="04305D7A" w14:textId="77777777" w:rsidR="00880F1C" w:rsidRPr="008C0A2D" w:rsidRDefault="00880F1C" w:rsidP="00880F1C">
      <w:pPr>
        <w:spacing w:after="0" w:line="240" w:lineRule="exact"/>
        <w:jc w:val="both"/>
        <w:rPr>
          <w:rFonts w:ascii="Arial Narrow" w:hAnsi="Arial Narrow" w:cs="Arial"/>
          <w:sz w:val="20"/>
          <w:szCs w:val="20"/>
        </w:rPr>
      </w:pPr>
    </w:p>
    <w:p w14:paraId="4E7ED05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Debe mostrar la siguiente información:</w:t>
      </w:r>
    </w:p>
    <w:p w14:paraId="720B43DD" w14:textId="77777777" w:rsidR="00880F1C" w:rsidRPr="008C0A2D" w:rsidRDefault="00880F1C" w:rsidP="00880F1C">
      <w:pPr>
        <w:spacing w:after="0" w:line="240" w:lineRule="exact"/>
        <w:jc w:val="both"/>
        <w:rPr>
          <w:rFonts w:ascii="Arial Narrow" w:hAnsi="Arial Narrow" w:cs="Arial"/>
          <w:sz w:val="20"/>
          <w:szCs w:val="20"/>
        </w:rPr>
      </w:pPr>
    </w:p>
    <w:p w14:paraId="3537603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Vida útil o porcentajes de depreciación, deterioro o amortización utilizados en los diferentes tipos de activos:</w:t>
      </w:r>
    </w:p>
    <w:p w14:paraId="2872B2E3" w14:textId="77777777" w:rsidR="00880F1C" w:rsidRPr="008C0A2D" w:rsidRDefault="00880F1C" w:rsidP="00880F1C">
      <w:pPr>
        <w:spacing w:after="0" w:line="240" w:lineRule="exact"/>
        <w:jc w:val="both"/>
        <w:rPr>
          <w:rFonts w:ascii="Arial Narrow" w:hAnsi="Arial Narrow" w:cs="Arial"/>
          <w:sz w:val="20"/>
          <w:szCs w:val="20"/>
        </w:rPr>
      </w:pPr>
    </w:p>
    <w:p w14:paraId="53457BF1"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A partir del ejercicio fiscal de 2011 se inician los cálculos de depreciación utilizando el método de línea recta con las tasas señaladas en la Ley del Impuesto sobre la Renta para los activos adquiridos durante el ejercicio de 2011, y los parámetros de estimación de vida útil publicados en el Diario Oficial de la Federación el 15 de agosto de 2012.</w:t>
      </w:r>
    </w:p>
    <w:p w14:paraId="2BB09F5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Cambios en el porcentaje de depreciación o valor residual de los activos:</w:t>
      </w:r>
    </w:p>
    <w:p w14:paraId="31DDE82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92023AB" w14:textId="77777777" w:rsidR="00880F1C" w:rsidRPr="008C0A2D" w:rsidRDefault="00880F1C" w:rsidP="00880F1C">
      <w:pPr>
        <w:spacing w:after="0" w:line="240" w:lineRule="exact"/>
        <w:jc w:val="both"/>
        <w:rPr>
          <w:rFonts w:ascii="Arial Narrow" w:hAnsi="Arial Narrow" w:cs="Arial"/>
          <w:sz w:val="20"/>
          <w:szCs w:val="20"/>
        </w:rPr>
      </w:pPr>
    </w:p>
    <w:p w14:paraId="5105287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Importe de los gastos capitalizados en el ejercicio, tanto financieros como de investigación y desarrollo:</w:t>
      </w:r>
    </w:p>
    <w:p w14:paraId="4DEF4DA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082DE60" w14:textId="77777777" w:rsidR="00880F1C" w:rsidRPr="008C0A2D" w:rsidRDefault="00880F1C" w:rsidP="00880F1C">
      <w:pPr>
        <w:spacing w:after="0" w:line="240" w:lineRule="exact"/>
        <w:jc w:val="both"/>
        <w:rPr>
          <w:rFonts w:ascii="Arial Narrow" w:hAnsi="Arial Narrow" w:cs="Arial"/>
          <w:sz w:val="20"/>
          <w:szCs w:val="20"/>
        </w:rPr>
      </w:pPr>
    </w:p>
    <w:p w14:paraId="6799F97D"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Riegos por tipo de cambio o tipo de interés de las inversiones financieras:</w:t>
      </w:r>
    </w:p>
    <w:p w14:paraId="190530E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7324830" w14:textId="77777777" w:rsidR="00880F1C" w:rsidRPr="008C0A2D" w:rsidRDefault="00880F1C" w:rsidP="00880F1C">
      <w:pPr>
        <w:spacing w:after="0" w:line="240" w:lineRule="exact"/>
        <w:jc w:val="both"/>
        <w:rPr>
          <w:rFonts w:ascii="Arial Narrow" w:hAnsi="Arial Narrow" w:cs="Arial"/>
          <w:b/>
          <w:sz w:val="20"/>
          <w:szCs w:val="20"/>
        </w:rPr>
      </w:pPr>
    </w:p>
    <w:p w14:paraId="5F0848B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Valor activado en el ejercicio de los bienes construidos por la entidad:</w:t>
      </w:r>
    </w:p>
    <w:p w14:paraId="5BDA178D"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8C66738" w14:textId="77777777" w:rsidR="00880F1C" w:rsidRPr="008C0A2D" w:rsidRDefault="00880F1C" w:rsidP="00880F1C">
      <w:pPr>
        <w:spacing w:after="0" w:line="240" w:lineRule="exact"/>
        <w:jc w:val="both"/>
        <w:rPr>
          <w:rFonts w:ascii="Arial Narrow" w:hAnsi="Arial Narrow" w:cs="Arial"/>
          <w:sz w:val="20"/>
          <w:szCs w:val="20"/>
        </w:rPr>
      </w:pPr>
    </w:p>
    <w:p w14:paraId="4E72B7D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2204A86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7BD2859" w14:textId="77777777" w:rsidR="00880F1C" w:rsidRPr="008C0A2D" w:rsidRDefault="00880F1C" w:rsidP="00880F1C">
      <w:pPr>
        <w:spacing w:after="0" w:line="240" w:lineRule="exact"/>
        <w:jc w:val="both"/>
        <w:rPr>
          <w:rFonts w:ascii="Arial Narrow" w:hAnsi="Arial Narrow" w:cs="Arial"/>
          <w:sz w:val="20"/>
          <w:szCs w:val="20"/>
        </w:rPr>
      </w:pPr>
    </w:p>
    <w:p w14:paraId="1EC1A943" w14:textId="77777777" w:rsidR="00880F1C" w:rsidRPr="008C0A2D" w:rsidRDefault="00880F1C" w:rsidP="00880F1C">
      <w:pPr>
        <w:spacing w:after="0" w:line="240" w:lineRule="exact"/>
        <w:jc w:val="both"/>
        <w:rPr>
          <w:rFonts w:ascii="Arial Narrow" w:hAnsi="Arial Narrow" w:cs="Arial"/>
          <w:sz w:val="20"/>
          <w:szCs w:val="20"/>
        </w:rPr>
      </w:pPr>
    </w:p>
    <w:p w14:paraId="06873B6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Desmantelamiento de Activos, procedimientos, implicaciones, efectos contables:</w:t>
      </w:r>
    </w:p>
    <w:p w14:paraId="0CFE532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3C9DC1D" w14:textId="77777777" w:rsidR="00880F1C" w:rsidRPr="008C0A2D" w:rsidRDefault="00880F1C" w:rsidP="00880F1C">
      <w:pPr>
        <w:spacing w:after="0" w:line="240" w:lineRule="exact"/>
        <w:jc w:val="both"/>
        <w:rPr>
          <w:rFonts w:ascii="Arial Narrow" w:hAnsi="Arial Narrow" w:cs="Arial"/>
          <w:sz w:val="20"/>
          <w:szCs w:val="20"/>
        </w:rPr>
      </w:pPr>
    </w:p>
    <w:p w14:paraId="420DF43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Administración de activos; planeación con el objetivo de que el ente los utilice de manera más efectiva:</w:t>
      </w:r>
    </w:p>
    <w:p w14:paraId="2C5DC35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De acuerdo con los Lineamientos de racionalidad, austeridad y disciplina presupuestal se procura garantizar el uso eficiente y eficaz de los activos del Instituto.</w:t>
      </w:r>
    </w:p>
    <w:p w14:paraId="241C65CF" w14:textId="77777777" w:rsidR="00880F1C" w:rsidRPr="008C0A2D" w:rsidRDefault="00880F1C" w:rsidP="00880F1C">
      <w:pPr>
        <w:spacing w:after="0" w:line="240" w:lineRule="exact"/>
        <w:jc w:val="both"/>
        <w:rPr>
          <w:rFonts w:ascii="Arial Narrow" w:hAnsi="Arial Narrow" w:cs="Arial"/>
          <w:sz w:val="20"/>
          <w:szCs w:val="20"/>
        </w:rPr>
      </w:pPr>
    </w:p>
    <w:p w14:paraId="707A715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deben incluir las explicaciones de las principales variaciones en el activo, en cuadros comparativos como sigue:</w:t>
      </w:r>
    </w:p>
    <w:p w14:paraId="245A1655" w14:textId="77777777" w:rsidR="00880F1C" w:rsidRPr="008C0A2D" w:rsidRDefault="00880F1C" w:rsidP="00880F1C">
      <w:pPr>
        <w:spacing w:after="0" w:line="240" w:lineRule="exact"/>
        <w:jc w:val="both"/>
        <w:rPr>
          <w:rFonts w:ascii="Arial Narrow" w:hAnsi="Arial Narrow" w:cs="Arial"/>
          <w:sz w:val="20"/>
          <w:szCs w:val="20"/>
        </w:rPr>
      </w:pPr>
    </w:p>
    <w:p w14:paraId="2F176F8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Inversiones en valores:</w:t>
      </w:r>
    </w:p>
    <w:p w14:paraId="311F68AA" w14:textId="77777777" w:rsidR="00880F1C" w:rsidRPr="008C0A2D" w:rsidRDefault="00880F1C" w:rsidP="00880F1C">
      <w:pPr>
        <w:spacing w:after="0" w:line="240" w:lineRule="exact"/>
        <w:jc w:val="both"/>
        <w:rPr>
          <w:rFonts w:ascii="Arial Narrow" w:hAnsi="Arial Narrow" w:cs="Arial"/>
          <w:sz w:val="20"/>
          <w:szCs w:val="20"/>
        </w:rPr>
      </w:pPr>
    </w:p>
    <w:p w14:paraId="1CFEFF9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El Instituto opera con la Institución bancaria en la que recibe los recursos del presupuesto autorizado, cuentas de inversión en las que dichos recursos generan intereses, en tanto son utilizados para los fines que se requieren. Estos intereses son reintegrados </w:t>
      </w:r>
      <w:r w:rsidRPr="008C0A2D">
        <w:rPr>
          <w:rFonts w:ascii="Arial Narrow" w:hAnsi="Arial Narrow" w:cs="Arial"/>
          <w:sz w:val="20"/>
          <w:szCs w:val="20"/>
        </w:rPr>
        <w:lastRenderedPageBreak/>
        <w:t>mensualmente a la Secretaría de Finanzas, Inversión y Administración en cumplimiento a lo dispuesto en la Ley para el Ejercicio y Control de los Recursos públicos para el Estado y los Municipios de Guanajuato.</w:t>
      </w:r>
    </w:p>
    <w:p w14:paraId="7D9F7E9E" w14:textId="77777777" w:rsidR="00880F1C" w:rsidRPr="008C0A2D" w:rsidRDefault="00880F1C" w:rsidP="00880F1C">
      <w:pPr>
        <w:spacing w:after="0" w:line="240" w:lineRule="exact"/>
        <w:jc w:val="both"/>
        <w:rPr>
          <w:rFonts w:ascii="Arial Narrow" w:hAnsi="Arial Narrow" w:cs="Arial"/>
          <w:sz w:val="20"/>
          <w:szCs w:val="20"/>
        </w:rPr>
      </w:pPr>
    </w:p>
    <w:p w14:paraId="6AC979E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Patrimonio de Organismos descentralizados de Control Presupuestario Indirecto:</w:t>
      </w:r>
    </w:p>
    <w:p w14:paraId="4E5621D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95CA18C" w14:textId="77777777" w:rsidR="00880F1C" w:rsidRPr="008C0A2D" w:rsidRDefault="00880F1C" w:rsidP="00880F1C">
      <w:pPr>
        <w:spacing w:after="0" w:line="240" w:lineRule="exact"/>
        <w:jc w:val="both"/>
        <w:rPr>
          <w:rFonts w:ascii="Arial Narrow" w:hAnsi="Arial Narrow" w:cs="Arial"/>
          <w:sz w:val="20"/>
          <w:szCs w:val="20"/>
        </w:rPr>
      </w:pPr>
    </w:p>
    <w:p w14:paraId="51AE686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Inversiones en empresas de participación mayoritaria:</w:t>
      </w:r>
    </w:p>
    <w:p w14:paraId="2AE80A8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2E82E4A" w14:textId="77777777" w:rsidR="00880F1C" w:rsidRPr="008C0A2D" w:rsidRDefault="00880F1C" w:rsidP="00880F1C">
      <w:pPr>
        <w:spacing w:after="0" w:line="240" w:lineRule="exact"/>
        <w:jc w:val="both"/>
        <w:rPr>
          <w:rFonts w:ascii="Arial Narrow" w:hAnsi="Arial Narrow" w:cs="Arial"/>
          <w:sz w:val="20"/>
          <w:szCs w:val="20"/>
        </w:rPr>
      </w:pPr>
    </w:p>
    <w:p w14:paraId="4044998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Inversiones en empresas de participación minoritaria:</w:t>
      </w:r>
    </w:p>
    <w:p w14:paraId="22C2EFA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B703C5F" w14:textId="77777777" w:rsidR="00880F1C" w:rsidRPr="008C0A2D" w:rsidRDefault="00880F1C" w:rsidP="00880F1C">
      <w:pPr>
        <w:spacing w:after="0" w:line="240" w:lineRule="exact"/>
        <w:jc w:val="both"/>
        <w:rPr>
          <w:rFonts w:ascii="Arial Narrow" w:hAnsi="Arial Narrow" w:cs="Arial"/>
          <w:sz w:val="20"/>
          <w:szCs w:val="20"/>
        </w:rPr>
      </w:pPr>
    </w:p>
    <w:p w14:paraId="0BC8E18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Patrimonio de organismos descentralizados de control presupuestario directo, según corresponda:</w:t>
      </w:r>
    </w:p>
    <w:p w14:paraId="3480C9C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BCA2ABD" w14:textId="77777777" w:rsidR="00880F1C" w:rsidRPr="008C0A2D" w:rsidRDefault="00880F1C" w:rsidP="00880F1C">
      <w:pPr>
        <w:spacing w:after="0" w:line="240" w:lineRule="exact"/>
        <w:jc w:val="both"/>
        <w:rPr>
          <w:rFonts w:ascii="Arial Narrow" w:hAnsi="Arial Narrow" w:cs="Arial"/>
          <w:sz w:val="20"/>
          <w:szCs w:val="20"/>
        </w:rPr>
      </w:pPr>
    </w:p>
    <w:p w14:paraId="25D68521" w14:textId="77777777" w:rsidR="00880F1C" w:rsidRPr="008C0A2D" w:rsidRDefault="00880F1C" w:rsidP="00880F1C">
      <w:pPr>
        <w:spacing w:after="0" w:line="240" w:lineRule="auto"/>
        <w:jc w:val="both"/>
        <w:rPr>
          <w:rFonts w:ascii="Arial Narrow" w:hAnsi="Arial Narrow" w:cs="Calibri"/>
          <w:sz w:val="20"/>
          <w:szCs w:val="20"/>
        </w:rPr>
      </w:pPr>
    </w:p>
    <w:p w14:paraId="31BE0F1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9. Fideicomisos, Mandatos y Análogos:</w:t>
      </w:r>
    </w:p>
    <w:p w14:paraId="6356BA5A" w14:textId="77777777" w:rsidR="00880F1C" w:rsidRPr="008C0A2D" w:rsidRDefault="00880F1C" w:rsidP="00880F1C">
      <w:pPr>
        <w:spacing w:after="0" w:line="240" w:lineRule="exact"/>
        <w:jc w:val="both"/>
        <w:rPr>
          <w:rFonts w:ascii="Arial Narrow" w:hAnsi="Arial Narrow" w:cs="Arial"/>
          <w:sz w:val="20"/>
          <w:szCs w:val="20"/>
        </w:rPr>
      </w:pPr>
    </w:p>
    <w:p w14:paraId="1138015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deberá informar:</w:t>
      </w:r>
    </w:p>
    <w:p w14:paraId="2C9816A3" w14:textId="77777777" w:rsidR="00880F1C" w:rsidRPr="008C0A2D" w:rsidRDefault="00880F1C" w:rsidP="00880F1C">
      <w:pPr>
        <w:spacing w:after="0" w:line="240" w:lineRule="exact"/>
        <w:jc w:val="both"/>
        <w:rPr>
          <w:rFonts w:ascii="Arial Narrow" w:hAnsi="Arial Narrow" w:cs="Arial"/>
          <w:sz w:val="20"/>
          <w:szCs w:val="20"/>
        </w:rPr>
      </w:pPr>
    </w:p>
    <w:p w14:paraId="61A92F3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Por ramo administrativo que los reporta:</w:t>
      </w:r>
    </w:p>
    <w:p w14:paraId="3286816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D1EBCAE" w14:textId="77777777" w:rsidR="00880F1C" w:rsidRPr="008C0A2D" w:rsidRDefault="00880F1C" w:rsidP="00880F1C">
      <w:pPr>
        <w:spacing w:after="0" w:line="240" w:lineRule="exact"/>
        <w:jc w:val="both"/>
        <w:rPr>
          <w:rFonts w:ascii="Arial Narrow" w:hAnsi="Arial Narrow" w:cs="Arial"/>
          <w:sz w:val="20"/>
          <w:szCs w:val="20"/>
        </w:rPr>
      </w:pPr>
    </w:p>
    <w:p w14:paraId="4F3959D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Enlistar los de mayor monto de disponibilidad, relacionando aquéllos que conforman el 80% de las disponibilidades:</w:t>
      </w:r>
    </w:p>
    <w:p w14:paraId="663980D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70FFD10" w14:textId="77777777" w:rsidR="00880F1C" w:rsidRPr="008C0A2D" w:rsidRDefault="00880F1C" w:rsidP="00880F1C">
      <w:pPr>
        <w:spacing w:after="0" w:line="240" w:lineRule="exact"/>
        <w:jc w:val="both"/>
        <w:rPr>
          <w:rFonts w:ascii="Arial Narrow" w:hAnsi="Arial Narrow" w:cs="Arial"/>
          <w:sz w:val="20"/>
          <w:szCs w:val="20"/>
        </w:rPr>
      </w:pPr>
    </w:p>
    <w:p w14:paraId="4B6C238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10. Reporte de la Recaudación:</w:t>
      </w:r>
    </w:p>
    <w:p w14:paraId="0E9CE923" w14:textId="77777777" w:rsidR="00880F1C" w:rsidRPr="008C0A2D" w:rsidRDefault="00880F1C" w:rsidP="00880F1C">
      <w:pPr>
        <w:spacing w:after="0" w:line="240" w:lineRule="exact"/>
        <w:jc w:val="both"/>
        <w:rPr>
          <w:rFonts w:ascii="Arial Narrow" w:hAnsi="Arial Narrow" w:cs="Arial"/>
          <w:sz w:val="20"/>
          <w:szCs w:val="20"/>
        </w:rPr>
      </w:pPr>
    </w:p>
    <w:p w14:paraId="34A8A26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Análisis del comportamiento de la recaudación correspondiente al ente público o cualquier tipo de ingreso, de forma separada los ingresos locales de los federales:</w:t>
      </w:r>
    </w:p>
    <w:p w14:paraId="446C3113" w14:textId="77777777" w:rsidR="00880F1C" w:rsidRPr="008C0A2D" w:rsidRDefault="00880F1C" w:rsidP="00880F1C">
      <w:pPr>
        <w:spacing w:after="0" w:line="240" w:lineRule="exact"/>
        <w:jc w:val="both"/>
        <w:rPr>
          <w:rFonts w:ascii="Arial Narrow" w:hAnsi="Arial Narrow" w:cs="Arial"/>
          <w:sz w:val="20"/>
          <w:szCs w:val="20"/>
        </w:rPr>
      </w:pPr>
    </w:p>
    <w:p w14:paraId="05A37AF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La recaudación del Instituto se realiza en forma mensual conforme a las ministraciones mensuales autorizadas del presupuesto estatal (único ingreso), mediante la solicitud de recursos ante la Secretaría de Finanzas, Inversión y Administración del Gobierno del Estado de Guanajuato.</w:t>
      </w:r>
    </w:p>
    <w:p w14:paraId="6BB075F8" w14:textId="77777777" w:rsidR="00880F1C" w:rsidRPr="008C0A2D" w:rsidRDefault="00880F1C" w:rsidP="00880F1C">
      <w:pPr>
        <w:spacing w:after="0" w:line="240" w:lineRule="exact"/>
        <w:jc w:val="both"/>
        <w:rPr>
          <w:rFonts w:ascii="Arial Narrow" w:hAnsi="Arial Narrow" w:cs="Arial"/>
          <w:sz w:val="20"/>
          <w:szCs w:val="20"/>
        </w:rPr>
      </w:pPr>
    </w:p>
    <w:p w14:paraId="6BAAA60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Proyección de la recaudación e ingresos en el mediano plazo:</w:t>
      </w:r>
    </w:p>
    <w:p w14:paraId="0CB11D6A" w14:textId="77777777" w:rsidR="00880F1C" w:rsidRPr="008C0A2D" w:rsidRDefault="00880F1C" w:rsidP="00880F1C">
      <w:pPr>
        <w:spacing w:after="0" w:line="240" w:lineRule="exact"/>
        <w:jc w:val="both"/>
        <w:rPr>
          <w:rFonts w:ascii="Arial Narrow" w:hAnsi="Arial Narrow" w:cs="Arial"/>
          <w:sz w:val="20"/>
          <w:szCs w:val="20"/>
        </w:rPr>
      </w:pPr>
    </w:p>
    <w:p w14:paraId="01C2132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elabora los presupuestos considerando cuando se trata de año no electoral, año preelectoral y año electoral, para la aprobación del Congreso del Estado.</w:t>
      </w:r>
    </w:p>
    <w:p w14:paraId="0D654FA8" w14:textId="77777777" w:rsidR="00880F1C" w:rsidRPr="008C0A2D" w:rsidRDefault="00880F1C" w:rsidP="00880F1C">
      <w:pPr>
        <w:spacing w:after="0" w:line="240" w:lineRule="exact"/>
        <w:jc w:val="both"/>
        <w:rPr>
          <w:rFonts w:ascii="Arial Narrow" w:hAnsi="Arial Narrow" w:cs="Arial"/>
          <w:sz w:val="20"/>
          <w:szCs w:val="20"/>
        </w:rPr>
      </w:pPr>
    </w:p>
    <w:p w14:paraId="02AD9204"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11. Información sobre la Deuda y el Reporte Analítico de la Deuda:</w:t>
      </w:r>
    </w:p>
    <w:p w14:paraId="57C74D7D" w14:textId="77777777" w:rsidR="00880F1C" w:rsidRPr="008C0A2D" w:rsidRDefault="00880F1C" w:rsidP="00880F1C">
      <w:pPr>
        <w:spacing w:after="0" w:line="240" w:lineRule="exact"/>
        <w:jc w:val="both"/>
        <w:rPr>
          <w:rFonts w:ascii="Arial Narrow" w:hAnsi="Arial Narrow" w:cs="Arial"/>
          <w:sz w:val="20"/>
          <w:szCs w:val="20"/>
        </w:rPr>
      </w:pPr>
    </w:p>
    <w:p w14:paraId="13F48A6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informará lo siguiente:</w:t>
      </w:r>
    </w:p>
    <w:p w14:paraId="276F7C86" w14:textId="77777777" w:rsidR="00880F1C" w:rsidRPr="008C0A2D" w:rsidRDefault="00880F1C" w:rsidP="00880F1C">
      <w:pPr>
        <w:spacing w:after="0" w:line="240" w:lineRule="exact"/>
        <w:jc w:val="both"/>
        <w:rPr>
          <w:rFonts w:ascii="Arial Narrow" w:hAnsi="Arial Narrow" w:cs="Arial"/>
          <w:sz w:val="20"/>
          <w:szCs w:val="20"/>
        </w:rPr>
      </w:pPr>
    </w:p>
    <w:p w14:paraId="7B08DC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Utilizar al menos los siguientes indicadores: deuda respecto al PIB y deuda respecto a la recaudación tomando, como mínimo, un período igual o menor a 5 años.</w:t>
      </w:r>
    </w:p>
    <w:p w14:paraId="1E1304F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B17761" w14:textId="77777777" w:rsidR="00880F1C" w:rsidRPr="008C0A2D" w:rsidRDefault="00880F1C" w:rsidP="00880F1C">
      <w:pPr>
        <w:spacing w:after="0" w:line="240" w:lineRule="exact"/>
        <w:jc w:val="both"/>
        <w:rPr>
          <w:rFonts w:ascii="Arial Narrow" w:hAnsi="Arial Narrow" w:cs="Arial"/>
          <w:b/>
          <w:sz w:val="20"/>
          <w:szCs w:val="20"/>
        </w:rPr>
      </w:pPr>
    </w:p>
    <w:p w14:paraId="653D984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Información de manera agrupada por tipo de valor gubernamental o instrumento financiero en la que se considere intereses, comisiones, tasa, perfil de vencimiento y otros gastos de la deuda.</w:t>
      </w:r>
    </w:p>
    <w:p w14:paraId="0708E0E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 Se anexara la información en las notas de desglose. </w:t>
      </w:r>
    </w:p>
    <w:p w14:paraId="7AA894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068D261" w14:textId="77777777" w:rsidR="00880F1C" w:rsidRPr="008C0A2D" w:rsidRDefault="00880F1C" w:rsidP="00880F1C">
      <w:pPr>
        <w:spacing w:after="0" w:line="240" w:lineRule="exact"/>
        <w:jc w:val="both"/>
        <w:rPr>
          <w:rFonts w:ascii="Arial Narrow" w:hAnsi="Arial Narrow" w:cs="Arial"/>
          <w:sz w:val="20"/>
          <w:szCs w:val="20"/>
        </w:rPr>
      </w:pPr>
    </w:p>
    <w:p w14:paraId="405BA1B0" w14:textId="77777777" w:rsidR="00880F1C" w:rsidRPr="008C0A2D" w:rsidRDefault="00880F1C" w:rsidP="00880F1C">
      <w:pPr>
        <w:spacing w:after="0" w:line="240" w:lineRule="exact"/>
        <w:jc w:val="both"/>
        <w:rPr>
          <w:rFonts w:ascii="Arial Narrow" w:hAnsi="Arial Narrow" w:cs="Arial"/>
          <w:sz w:val="20"/>
          <w:szCs w:val="20"/>
        </w:rPr>
      </w:pPr>
    </w:p>
    <w:p w14:paraId="1656BD99"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12. Calificaciones otorgadas:</w:t>
      </w:r>
    </w:p>
    <w:p w14:paraId="18B45633" w14:textId="77777777" w:rsidR="00880F1C" w:rsidRPr="008C0A2D" w:rsidRDefault="00880F1C" w:rsidP="00880F1C">
      <w:pPr>
        <w:spacing w:after="0" w:line="240" w:lineRule="exact"/>
        <w:jc w:val="both"/>
        <w:rPr>
          <w:rFonts w:ascii="Arial Narrow" w:hAnsi="Arial Narrow" w:cs="Arial"/>
          <w:sz w:val="20"/>
          <w:szCs w:val="20"/>
        </w:rPr>
      </w:pPr>
    </w:p>
    <w:p w14:paraId="595B9E2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Informar, tanto del ente público como cualquier transacción realizada, que haya sido sujeta a una calificación crediticia:</w:t>
      </w:r>
    </w:p>
    <w:p w14:paraId="2ACFC7F1" w14:textId="77777777" w:rsidR="00880F1C" w:rsidRPr="008C0A2D" w:rsidRDefault="00880F1C" w:rsidP="00880F1C">
      <w:pPr>
        <w:spacing w:after="0" w:line="240" w:lineRule="exact"/>
        <w:jc w:val="both"/>
        <w:rPr>
          <w:rFonts w:ascii="Arial Narrow" w:hAnsi="Arial Narrow" w:cs="Arial"/>
          <w:sz w:val="20"/>
          <w:szCs w:val="20"/>
        </w:rPr>
      </w:pPr>
      <w:bookmarkStart w:id="3" w:name="_Hlk481081264"/>
      <w:r w:rsidRPr="008C0A2D">
        <w:rPr>
          <w:rFonts w:ascii="Arial Narrow" w:hAnsi="Arial Narrow" w:cs="Calibri"/>
          <w:b/>
          <w:sz w:val="20"/>
          <w:szCs w:val="20"/>
        </w:rPr>
        <w:t>Esta nota no le aplica al ente público</w:t>
      </w:r>
    </w:p>
    <w:bookmarkEnd w:id="3"/>
    <w:p w14:paraId="003626BF" w14:textId="77777777" w:rsidR="00880F1C" w:rsidRPr="008C0A2D" w:rsidRDefault="00880F1C" w:rsidP="00880F1C">
      <w:pPr>
        <w:spacing w:after="0" w:line="240" w:lineRule="auto"/>
        <w:jc w:val="both"/>
        <w:rPr>
          <w:rFonts w:ascii="Arial Narrow" w:hAnsi="Arial Narrow" w:cs="Calibri"/>
          <w:sz w:val="20"/>
          <w:szCs w:val="20"/>
        </w:rPr>
      </w:pPr>
    </w:p>
    <w:p w14:paraId="188FDFBD" w14:textId="77777777" w:rsidR="00880F1C" w:rsidRPr="008C0A2D" w:rsidRDefault="00880F1C" w:rsidP="00880F1C">
      <w:pPr>
        <w:spacing w:after="0" w:line="240" w:lineRule="auto"/>
        <w:jc w:val="both"/>
        <w:rPr>
          <w:rFonts w:ascii="Arial Narrow" w:hAnsi="Arial Narrow" w:cs="Calibri"/>
          <w:sz w:val="20"/>
          <w:szCs w:val="20"/>
        </w:rPr>
      </w:pPr>
    </w:p>
    <w:p w14:paraId="62871B1E"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13. Proceso de Mejora:</w:t>
      </w:r>
    </w:p>
    <w:p w14:paraId="74283658" w14:textId="77777777" w:rsidR="00880F1C" w:rsidRPr="008C0A2D" w:rsidRDefault="00880F1C" w:rsidP="00880F1C">
      <w:pPr>
        <w:spacing w:after="0" w:line="240" w:lineRule="auto"/>
        <w:jc w:val="both"/>
        <w:rPr>
          <w:rFonts w:ascii="Arial Narrow" w:hAnsi="Arial Narrow" w:cs="Calibri"/>
          <w:sz w:val="20"/>
          <w:szCs w:val="20"/>
        </w:rPr>
      </w:pPr>
    </w:p>
    <w:p w14:paraId="45B9D61D"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Se informará de:</w:t>
      </w:r>
    </w:p>
    <w:p w14:paraId="0557F207" w14:textId="77777777" w:rsidR="00880F1C" w:rsidRPr="008C0A2D" w:rsidRDefault="00880F1C" w:rsidP="00880F1C">
      <w:pPr>
        <w:spacing w:after="0" w:line="240" w:lineRule="auto"/>
        <w:jc w:val="both"/>
        <w:rPr>
          <w:rFonts w:ascii="Arial Narrow" w:hAnsi="Arial Narrow" w:cs="Calibri"/>
          <w:sz w:val="20"/>
          <w:szCs w:val="20"/>
        </w:rPr>
      </w:pPr>
    </w:p>
    <w:p w14:paraId="19ECA1B4"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a)</w:t>
      </w:r>
      <w:r w:rsidRPr="008C0A2D">
        <w:rPr>
          <w:rFonts w:ascii="Arial Narrow" w:hAnsi="Arial Narrow" w:cs="Calibri"/>
          <w:sz w:val="20"/>
          <w:szCs w:val="20"/>
        </w:rPr>
        <w:t xml:space="preserve"> Principales Políticas de control interno:</w:t>
      </w:r>
    </w:p>
    <w:p w14:paraId="260441D8" w14:textId="77777777" w:rsidR="00880F1C" w:rsidRPr="008C0A2D" w:rsidRDefault="00880F1C" w:rsidP="00880F1C">
      <w:pPr>
        <w:spacing w:after="0" w:line="240" w:lineRule="exact"/>
        <w:jc w:val="both"/>
        <w:rPr>
          <w:rFonts w:ascii="Arial Narrow" w:hAnsi="Arial Narrow" w:cs="Arial"/>
          <w:sz w:val="20"/>
          <w:szCs w:val="20"/>
        </w:rPr>
      </w:pPr>
    </w:p>
    <w:p w14:paraId="0C5ED1F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Aplicación de los Lineamientos de Austeridad, Racionalidad y Disciplina Presupuestal para cada ejercicio fiscal, emitidos por el Secretario Ejecutivo.</w:t>
      </w:r>
    </w:p>
    <w:p w14:paraId="2CA8AF31" w14:textId="77777777" w:rsidR="00880F1C" w:rsidRPr="008C0A2D" w:rsidRDefault="00880F1C" w:rsidP="00880F1C">
      <w:pPr>
        <w:spacing w:after="0" w:line="240" w:lineRule="auto"/>
        <w:jc w:val="both"/>
        <w:rPr>
          <w:rFonts w:ascii="Arial Narrow" w:hAnsi="Arial Narrow" w:cs="Calibri"/>
          <w:sz w:val="20"/>
          <w:szCs w:val="20"/>
        </w:rPr>
      </w:pPr>
    </w:p>
    <w:p w14:paraId="5E55BDD2"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b)</w:t>
      </w:r>
      <w:r w:rsidRPr="008C0A2D">
        <w:rPr>
          <w:rFonts w:ascii="Arial Narrow" w:hAnsi="Arial Narrow" w:cs="Calibri"/>
          <w:sz w:val="20"/>
          <w:szCs w:val="20"/>
        </w:rPr>
        <w:t xml:space="preserve"> Medidas de desempeño financiero, metas y alcance:</w:t>
      </w:r>
    </w:p>
    <w:p w14:paraId="1A600505" w14:textId="77777777" w:rsidR="00880F1C" w:rsidRPr="008C0A2D" w:rsidRDefault="00880F1C" w:rsidP="00880F1C">
      <w:pPr>
        <w:spacing w:after="0" w:line="240" w:lineRule="auto"/>
        <w:jc w:val="both"/>
        <w:rPr>
          <w:rFonts w:ascii="Arial Narrow" w:hAnsi="Arial Narrow" w:cs="Calibri"/>
          <w:sz w:val="20"/>
          <w:szCs w:val="20"/>
        </w:rPr>
      </w:pPr>
    </w:p>
    <w:p w14:paraId="70AD6196"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El Instituto Electoral del Estado de Guanajuato (IEEG) en apego al Presupuesto Basado en Resultados (PBR), aplicó la Metodología de Marco Lógico (MML) como herramienta que facilita el proceso de conceptualización, diseño, ejecución, monitoreo y evaluación de los programas y proyectos.</w:t>
      </w:r>
    </w:p>
    <w:p w14:paraId="4685B05A" w14:textId="77777777" w:rsidR="00880F1C" w:rsidRPr="008C0A2D" w:rsidRDefault="00880F1C" w:rsidP="00880F1C">
      <w:pPr>
        <w:spacing w:after="0" w:line="240" w:lineRule="auto"/>
        <w:jc w:val="both"/>
        <w:rPr>
          <w:rFonts w:ascii="Arial Narrow" w:hAnsi="Arial Narrow" w:cs="Calibri"/>
          <w:sz w:val="20"/>
          <w:szCs w:val="20"/>
        </w:rPr>
      </w:pPr>
    </w:p>
    <w:p w14:paraId="11CB4617"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La Matriz de Indicadores de Resultados (MIR) se ha desarrollado con la finalidad de clarificar la creación de valor público y reflejar resultados cuantificables de la labor del Instituto. Los indicadores planteados contribuyen para monitorear, medir y evaluar el desempeño institucional y poder contar con información que permita la mejora en la toma de decisiones.</w:t>
      </w:r>
    </w:p>
    <w:p w14:paraId="3E4C8838" w14:textId="77777777" w:rsidR="00880F1C" w:rsidRPr="008C0A2D" w:rsidRDefault="00880F1C" w:rsidP="00880F1C">
      <w:pPr>
        <w:spacing w:after="0" w:line="240" w:lineRule="auto"/>
        <w:jc w:val="both"/>
        <w:rPr>
          <w:rFonts w:ascii="Arial Narrow" w:hAnsi="Arial Narrow" w:cs="Calibri"/>
          <w:sz w:val="20"/>
          <w:szCs w:val="20"/>
        </w:rPr>
      </w:pPr>
    </w:p>
    <w:p w14:paraId="19129819"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Con el Sistema de Evaluación al Desempeño (SED) se monitorea tanto el avance o ejecución de las metas, como el ejercicio del gasto asignado a cada proyecto y actividad.</w:t>
      </w:r>
    </w:p>
    <w:p w14:paraId="7961C30E" w14:textId="77777777" w:rsidR="00880F1C" w:rsidRPr="008C0A2D" w:rsidRDefault="00880F1C" w:rsidP="00880F1C">
      <w:pPr>
        <w:spacing w:after="0" w:line="240" w:lineRule="auto"/>
        <w:jc w:val="both"/>
        <w:rPr>
          <w:rFonts w:ascii="Arial Narrow" w:hAnsi="Arial Narrow" w:cs="Calibri"/>
          <w:sz w:val="20"/>
          <w:szCs w:val="20"/>
        </w:rPr>
      </w:pPr>
    </w:p>
    <w:p w14:paraId="3684F755" w14:textId="77777777" w:rsidR="00880F1C" w:rsidRPr="008C0A2D" w:rsidRDefault="00880F1C" w:rsidP="00880F1C">
      <w:pPr>
        <w:spacing w:after="0" w:line="240" w:lineRule="auto"/>
        <w:jc w:val="both"/>
        <w:rPr>
          <w:rFonts w:ascii="Arial Narrow" w:hAnsi="Arial Narrow" w:cs="Calibri"/>
          <w:sz w:val="20"/>
          <w:szCs w:val="20"/>
        </w:rPr>
      </w:pPr>
    </w:p>
    <w:p w14:paraId="26114C7A"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14. Información por Segmentos:</w:t>
      </w:r>
    </w:p>
    <w:p w14:paraId="00AF9A93" w14:textId="77777777" w:rsidR="00880F1C" w:rsidRPr="008C0A2D" w:rsidRDefault="00880F1C" w:rsidP="00880F1C">
      <w:pPr>
        <w:spacing w:after="0" w:line="240" w:lineRule="auto"/>
        <w:jc w:val="both"/>
        <w:rPr>
          <w:rFonts w:ascii="Arial Narrow" w:hAnsi="Arial Narrow" w:cs="Calibri"/>
          <w:sz w:val="20"/>
          <w:szCs w:val="20"/>
        </w:rPr>
      </w:pPr>
    </w:p>
    <w:p w14:paraId="6BC999FE"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3025A601" w14:textId="77777777" w:rsidR="00880F1C" w:rsidRPr="008C0A2D" w:rsidRDefault="00880F1C" w:rsidP="00880F1C">
      <w:pPr>
        <w:spacing w:after="0" w:line="240" w:lineRule="auto"/>
        <w:jc w:val="both"/>
        <w:rPr>
          <w:rFonts w:ascii="Arial Narrow" w:hAnsi="Arial Narrow" w:cs="Calibri"/>
          <w:sz w:val="20"/>
          <w:szCs w:val="20"/>
        </w:rPr>
      </w:pPr>
    </w:p>
    <w:p w14:paraId="2F5E35A1"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Consecuentemente, esta información contribuye al análisis más preciso de la situación financiera, grados y fuentes de riesgo y crecimiento potencial de negocio.</w:t>
      </w:r>
    </w:p>
    <w:p w14:paraId="4C3C1CF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930AB91" w14:textId="77777777" w:rsidR="00880F1C" w:rsidRPr="008C0A2D" w:rsidRDefault="00880F1C" w:rsidP="00880F1C">
      <w:pPr>
        <w:spacing w:after="0" w:line="240" w:lineRule="auto"/>
        <w:jc w:val="both"/>
        <w:rPr>
          <w:rFonts w:ascii="Arial Narrow" w:hAnsi="Arial Narrow" w:cs="Calibri"/>
          <w:sz w:val="20"/>
          <w:szCs w:val="20"/>
        </w:rPr>
      </w:pPr>
    </w:p>
    <w:p w14:paraId="1B32A01C" w14:textId="77777777" w:rsidR="00880F1C" w:rsidRPr="008C0A2D" w:rsidRDefault="00880F1C" w:rsidP="00880F1C">
      <w:pPr>
        <w:spacing w:after="0" w:line="240" w:lineRule="auto"/>
        <w:jc w:val="both"/>
        <w:rPr>
          <w:rFonts w:ascii="Arial Narrow" w:hAnsi="Arial Narrow" w:cs="Calibri"/>
          <w:sz w:val="20"/>
          <w:szCs w:val="20"/>
        </w:rPr>
      </w:pPr>
    </w:p>
    <w:p w14:paraId="00352220"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15. Eventos Posteriores al Cierre:</w:t>
      </w:r>
    </w:p>
    <w:p w14:paraId="116AD1D6" w14:textId="77777777" w:rsidR="00880F1C" w:rsidRPr="008C0A2D" w:rsidRDefault="00880F1C" w:rsidP="00880F1C">
      <w:pPr>
        <w:spacing w:after="0" w:line="240" w:lineRule="auto"/>
        <w:jc w:val="both"/>
        <w:rPr>
          <w:rFonts w:ascii="Arial Narrow" w:hAnsi="Arial Narrow" w:cs="Calibri"/>
          <w:sz w:val="20"/>
          <w:szCs w:val="20"/>
        </w:rPr>
      </w:pPr>
    </w:p>
    <w:p w14:paraId="4A00B8A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sz w:val="20"/>
          <w:szCs w:val="20"/>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8C0A2D">
        <w:rPr>
          <w:rFonts w:ascii="Arial Narrow" w:hAnsi="Arial Narrow" w:cs="Calibri"/>
          <w:sz w:val="20"/>
          <w:szCs w:val="20"/>
        </w:rPr>
        <w:cr/>
      </w:r>
      <w:r w:rsidRPr="008C0A2D">
        <w:rPr>
          <w:rFonts w:ascii="Arial Narrow" w:hAnsi="Arial Narrow" w:cs="Calibri"/>
          <w:b/>
          <w:sz w:val="20"/>
          <w:szCs w:val="20"/>
        </w:rPr>
        <w:t xml:space="preserve"> Esta nota no le aplica al ente público</w:t>
      </w:r>
    </w:p>
    <w:p w14:paraId="18B92344" w14:textId="77777777" w:rsidR="00880F1C" w:rsidRPr="008C0A2D" w:rsidRDefault="00880F1C" w:rsidP="00880F1C">
      <w:pPr>
        <w:spacing w:after="0" w:line="240" w:lineRule="auto"/>
        <w:jc w:val="both"/>
        <w:rPr>
          <w:rFonts w:ascii="Arial Narrow" w:hAnsi="Arial Narrow" w:cs="Calibri"/>
          <w:sz w:val="20"/>
          <w:szCs w:val="20"/>
        </w:rPr>
      </w:pPr>
    </w:p>
    <w:p w14:paraId="118A94AA" w14:textId="77777777" w:rsidR="00880F1C" w:rsidRPr="008C0A2D" w:rsidRDefault="00880F1C" w:rsidP="00880F1C">
      <w:pPr>
        <w:spacing w:after="0" w:line="240" w:lineRule="auto"/>
        <w:jc w:val="both"/>
        <w:rPr>
          <w:rFonts w:ascii="Arial Narrow" w:hAnsi="Arial Narrow" w:cs="Calibri"/>
          <w:sz w:val="20"/>
          <w:szCs w:val="20"/>
        </w:rPr>
      </w:pPr>
    </w:p>
    <w:p w14:paraId="0C75F0A3"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16. Partes Relacionadas:</w:t>
      </w:r>
    </w:p>
    <w:p w14:paraId="239D5D81" w14:textId="77777777" w:rsidR="00880F1C" w:rsidRPr="008C0A2D" w:rsidRDefault="00880F1C" w:rsidP="00880F1C">
      <w:pPr>
        <w:spacing w:after="0" w:line="240" w:lineRule="auto"/>
        <w:jc w:val="both"/>
        <w:rPr>
          <w:rFonts w:ascii="Arial Narrow" w:hAnsi="Arial Narrow" w:cs="Calibri"/>
          <w:sz w:val="20"/>
          <w:szCs w:val="20"/>
        </w:rPr>
      </w:pPr>
    </w:p>
    <w:p w14:paraId="6718F1DB"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Se debe establecer por escrito que no existen partes relacionadas que pudieran ejercer influencia significativa sobre la toma de decisiones financieras y operativas:</w:t>
      </w:r>
    </w:p>
    <w:p w14:paraId="4303502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126A9BA" w14:textId="77777777" w:rsidR="00880F1C" w:rsidRPr="008C0A2D" w:rsidRDefault="00880F1C" w:rsidP="00880F1C">
      <w:pPr>
        <w:spacing w:after="0" w:line="240" w:lineRule="auto"/>
        <w:jc w:val="both"/>
        <w:rPr>
          <w:rFonts w:ascii="Arial Narrow" w:hAnsi="Arial Narrow" w:cs="Calibri"/>
          <w:b/>
          <w:sz w:val="20"/>
          <w:szCs w:val="20"/>
        </w:rPr>
      </w:pPr>
    </w:p>
    <w:p w14:paraId="734A424C" w14:textId="77777777" w:rsidR="00880F1C" w:rsidRPr="008C0A2D" w:rsidRDefault="00880F1C" w:rsidP="00880F1C">
      <w:pPr>
        <w:spacing w:after="0" w:line="240" w:lineRule="auto"/>
        <w:jc w:val="both"/>
        <w:rPr>
          <w:rFonts w:ascii="Arial Narrow" w:hAnsi="Arial Narrow" w:cs="Calibri"/>
          <w:b/>
          <w:sz w:val="20"/>
          <w:szCs w:val="20"/>
        </w:rPr>
      </w:pPr>
    </w:p>
    <w:p w14:paraId="02DE5606"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17. Responsabilidad Sobre la Presentación Razonable de la Información Contable:</w:t>
      </w:r>
    </w:p>
    <w:p w14:paraId="2696D3C3" w14:textId="77777777" w:rsidR="00880F1C" w:rsidRPr="008C0A2D" w:rsidRDefault="00880F1C" w:rsidP="00880F1C">
      <w:pPr>
        <w:spacing w:after="0" w:line="240" w:lineRule="auto"/>
        <w:jc w:val="both"/>
        <w:rPr>
          <w:rFonts w:ascii="Arial Narrow" w:hAnsi="Arial Narrow" w:cs="Calibri"/>
          <w:sz w:val="20"/>
          <w:szCs w:val="20"/>
        </w:rPr>
      </w:pPr>
    </w:p>
    <w:p w14:paraId="0346A06F"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47857C78" w14:textId="77777777" w:rsidR="00880F1C" w:rsidRPr="00E74967" w:rsidRDefault="00880F1C" w:rsidP="00880F1C">
      <w:pPr>
        <w:tabs>
          <w:tab w:val="left" w:leader="underscore" w:pos="9639"/>
        </w:tabs>
        <w:spacing w:after="0" w:line="240" w:lineRule="auto"/>
        <w:jc w:val="both"/>
        <w:rPr>
          <w:rFonts w:cs="Calibri"/>
        </w:rPr>
      </w:pPr>
    </w:p>
    <w:sectPr w:rsidR="00880F1C" w:rsidRPr="00E74967"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9DFF" w14:textId="77777777" w:rsidR="00880F1C" w:rsidRDefault="00880F1C" w:rsidP="00E00323">
      <w:pPr>
        <w:spacing w:after="0" w:line="240" w:lineRule="auto"/>
      </w:pPr>
      <w:r>
        <w:separator/>
      </w:r>
    </w:p>
  </w:endnote>
  <w:endnote w:type="continuationSeparator" w:id="0">
    <w:p w14:paraId="3062AA65" w14:textId="77777777" w:rsidR="00880F1C" w:rsidRDefault="00880F1C"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267310"/>
      <w:docPartObj>
        <w:docPartGallery w:val="Page Numbers (Bottom of Page)"/>
        <w:docPartUnique/>
      </w:docPartObj>
    </w:sdtPr>
    <w:sdtEndPr/>
    <w:sdtContent>
      <w:p w14:paraId="45A1378E" w14:textId="3208FEF5" w:rsidR="00880F1C" w:rsidRDefault="00880F1C">
        <w:pPr>
          <w:pStyle w:val="Piedepgina"/>
          <w:jc w:val="right"/>
        </w:pPr>
        <w:r>
          <w:fldChar w:fldCharType="begin"/>
        </w:r>
        <w:r>
          <w:instrText>PAGE   \* MERGEFORMAT</w:instrText>
        </w:r>
        <w:r>
          <w:fldChar w:fldCharType="separate"/>
        </w:r>
        <w:r w:rsidRPr="00A730E0">
          <w:rPr>
            <w:noProof/>
            <w:lang w:val="es-ES"/>
          </w:rPr>
          <w:t>1</w:t>
        </w:r>
        <w:r>
          <w:fldChar w:fldCharType="end"/>
        </w:r>
      </w:p>
    </w:sdtContent>
  </w:sdt>
  <w:p w14:paraId="37983FFD" w14:textId="77777777" w:rsidR="00880F1C" w:rsidRDefault="00880F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041C2" w14:textId="77777777" w:rsidR="00880F1C" w:rsidRDefault="00880F1C" w:rsidP="00E00323">
      <w:pPr>
        <w:spacing w:after="0" w:line="240" w:lineRule="auto"/>
      </w:pPr>
      <w:r>
        <w:separator/>
      </w:r>
    </w:p>
  </w:footnote>
  <w:footnote w:type="continuationSeparator" w:id="0">
    <w:p w14:paraId="5DCBB3F2" w14:textId="77777777" w:rsidR="00880F1C" w:rsidRDefault="00880F1C"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548F" w14:textId="6EA92BA5" w:rsidR="00880F1C" w:rsidRDefault="00880F1C" w:rsidP="00A4610E">
    <w:pPr>
      <w:pStyle w:val="Encabezado"/>
      <w:spacing w:after="0" w:line="240" w:lineRule="auto"/>
      <w:jc w:val="center"/>
    </w:pPr>
    <w:r>
      <w:t>Instituto Electoral del Estado de Guanajuato</w:t>
    </w:r>
  </w:p>
  <w:p w14:paraId="651A4C4F" w14:textId="2E5345E0" w:rsidR="00880F1C" w:rsidRDefault="00880F1C" w:rsidP="00A4610E">
    <w:pPr>
      <w:pStyle w:val="Encabezado"/>
      <w:spacing w:after="0" w:line="240" w:lineRule="auto"/>
      <w:jc w:val="center"/>
    </w:pPr>
    <w:r>
      <w:t>Correspondientes al 3</w:t>
    </w:r>
    <w:r w:rsidR="00A4774D">
      <w:t>0</w:t>
    </w:r>
    <w:r>
      <w:t xml:space="preserve"> de </w:t>
    </w:r>
    <w:r w:rsidR="00A4774D">
      <w:t>junio</w:t>
    </w:r>
    <w:r>
      <w:t xml:space="preserve"> de 20</w:t>
    </w:r>
    <w:r w:rsidR="00A65604">
      <w:t>2</w:t>
    </w:r>
    <w:r w:rsidR="003A10B2">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76"/>
    <w:rsid w:val="00040D4F"/>
    <w:rsid w:val="00084EAE"/>
    <w:rsid w:val="00091CE6"/>
    <w:rsid w:val="000B7810"/>
    <w:rsid w:val="000C3365"/>
    <w:rsid w:val="0012405A"/>
    <w:rsid w:val="00154BA3"/>
    <w:rsid w:val="001973A2"/>
    <w:rsid w:val="001C75F2"/>
    <w:rsid w:val="001D2063"/>
    <w:rsid w:val="001D43E9"/>
    <w:rsid w:val="003453CA"/>
    <w:rsid w:val="00351DEB"/>
    <w:rsid w:val="003A10B2"/>
    <w:rsid w:val="00435A87"/>
    <w:rsid w:val="00441186"/>
    <w:rsid w:val="004A58C8"/>
    <w:rsid w:val="004F234D"/>
    <w:rsid w:val="0054701E"/>
    <w:rsid w:val="005B5531"/>
    <w:rsid w:val="005D3E43"/>
    <w:rsid w:val="005E231E"/>
    <w:rsid w:val="00657009"/>
    <w:rsid w:val="00681C79"/>
    <w:rsid w:val="007610BC"/>
    <w:rsid w:val="00764075"/>
    <w:rsid w:val="007714AB"/>
    <w:rsid w:val="007D1E76"/>
    <w:rsid w:val="007D4484"/>
    <w:rsid w:val="0086459F"/>
    <w:rsid w:val="00880F1C"/>
    <w:rsid w:val="008A261E"/>
    <w:rsid w:val="008C3BB8"/>
    <w:rsid w:val="008E076C"/>
    <w:rsid w:val="0092765C"/>
    <w:rsid w:val="009E6ABD"/>
    <w:rsid w:val="00A4610E"/>
    <w:rsid w:val="00A4774D"/>
    <w:rsid w:val="00A52D5F"/>
    <w:rsid w:val="00A65604"/>
    <w:rsid w:val="00A730E0"/>
    <w:rsid w:val="00AA41E5"/>
    <w:rsid w:val="00AB722B"/>
    <w:rsid w:val="00AE1F6A"/>
    <w:rsid w:val="00B115A4"/>
    <w:rsid w:val="00B331FF"/>
    <w:rsid w:val="00C97E1E"/>
    <w:rsid w:val="00CB41C4"/>
    <w:rsid w:val="00CD4F1F"/>
    <w:rsid w:val="00CF1316"/>
    <w:rsid w:val="00D13C44"/>
    <w:rsid w:val="00D362E3"/>
    <w:rsid w:val="00D975B1"/>
    <w:rsid w:val="00E00323"/>
    <w:rsid w:val="00E0134D"/>
    <w:rsid w:val="00E13C6A"/>
    <w:rsid w:val="00E74967"/>
    <w:rsid w:val="00E7559F"/>
    <w:rsid w:val="00EA37F5"/>
    <w:rsid w:val="00EA7915"/>
    <w:rsid w:val="00F46719"/>
    <w:rsid w:val="00F54F6F"/>
    <w:rsid w:val="00F65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 w:type="character" w:styleId="Mencinsinresolver">
    <w:name w:val="Unresolved Mention"/>
    <w:basedOn w:val="Fuentedeprrafopredeter"/>
    <w:uiPriority w:val="99"/>
    <w:semiHidden/>
    <w:unhideWhenUsed/>
    <w:rsid w:val="00764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g.mx/directorio-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6A05FC8B-1897-4D00-9289-0C823EC27507}">
  <ds:schemaRefs>
    <ds:schemaRef ds:uri="http://schemas.openxmlformats.org/officeDocument/2006/bibliography"/>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CBD850-722C-4B0A-8EDE-7CABA60C709E}">
  <ds:schemaRef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www.w3.org/XML/1998/namespace"/>
    <ds:schemaRef ds:uri="http://purl.org/dc/elements/1.1/"/>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3647</Words>
  <Characters>20060</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23660</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Julio Óscar Hernández Ramírez</cp:lastModifiedBy>
  <cp:revision>2</cp:revision>
  <dcterms:created xsi:type="dcterms:W3CDTF">2021-08-06T16:07:00Z</dcterms:created>
  <dcterms:modified xsi:type="dcterms:W3CDTF">2021-08-06T16:07:00Z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